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AA" w:rsidRPr="00C52615" w:rsidRDefault="00DA5EAA" w:rsidP="00C5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outlineLvl w:val="0"/>
        <w:rPr>
          <w:rFonts w:eastAsia="Times New Roman" w:cstheme="minorHAnsi"/>
          <w:b/>
          <w:color w:val="0E0E0E"/>
          <w:kern w:val="36"/>
          <w:sz w:val="28"/>
          <w:szCs w:val="28"/>
          <w:lang w:val="hr-HR" w:eastAsia="bs-Latn-BA"/>
        </w:rPr>
      </w:pPr>
      <w:r w:rsidRPr="00C52615">
        <w:rPr>
          <w:rFonts w:eastAsia="Times New Roman" w:cstheme="minorHAnsi"/>
          <w:b/>
          <w:color w:val="0E0E0E"/>
          <w:kern w:val="36"/>
          <w:sz w:val="28"/>
          <w:szCs w:val="28"/>
          <w:lang w:val="hr-HR" w:eastAsia="bs-Latn-BA"/>
        </w:rPr>
        <w:t xml:space="preserve">Brza trankvilizacija u psihijatriji </w:t>
      </w:r>
      <w:r w:rsidR="00C52615" w:rsidRPr="00C52615">
        <w:rPr>
          <w:rFonts w:eastAsia="Times New Roman" w:cstheme="minorHAnsi"/>
          <w:b/>
          <w:color w:val="0E0E0E"/>
          <w:kern w:val="36"/>
          <w:sz w:val="28"/>
          <w:szCs w:val="28"/>
          <w:lang w:val="hr-HR" w:eastAsia="bs-Latn-BA"/>
        </w:rPr>
        <w:t>za pacijente koji su pozitivni na COVID 19  -</w:t>
      </w:r>
      <w:r w:rsidRPr="00C52615">
        <w:rPr>
          <w:rFonts w:eastAsia="Times New Roman" w:cstheme="minorHAnsi"/>
          <w:b/>
          <w:color w:val="0E0E0E"/>
          <w:kern w:val="36"/>
          <w:sz w:val="28"/>
          <w:szCs w:val="28"/>
          <w:lang w:val="hr-HR" w:eastAsia="bs-Latn-BA"/>
        </w:rPr>
        <w:t xml:space="preserve"> smjernice</w:t>
      </w:r>
    </w:p>
    <w:p w:rsidR="008E7B20" w:rsidRPr="008E7B20" w:rsidRDefault="008E7B20" w:rsidP="00DA5EAA">
      <w:pPr>
        <w:shd w:val="clear" w:color="auto" w:fill="FFFFFF" w:themeFill="background1"/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color w:val="0E0E0E"/>
          <w:kern w:val="36"/>
          <w:lang w:val="hr-HR" w:eastAsia="bs-Latn-BA"/>
        </w:rPr>
      </w:pPr>
      <w:r w:rsidRPr="008E7B20">
        <w:rPr>
          <w:rFonts w:eastAsia="Times New Roman" w:cstheme="minorHAnsi"/>
          <w:b/>
          <w:color w:val="0E0E0E"/>
          <w:kern w:val="36"/>
          <w:lang w:val="hr-HR" w:eastAsia="bs-Latn-BA"/>
        </w:rPr>
        <w:t>Uvod</w:t>
      </w:r>
    </w:p>
    <w:p w:rsidR="00F74915" w:rsidRDefault="00F74915" w:rsidP="008E7B2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r>
        <w:rPr>
          <w:rFonts w:eastAsia="Times New Roman" w:cstheme="minorHAnsi"/>
          <w:color w:val="0E0E0E"/>
          <w:kern w:val="36"/>
          <w:lang w:val="hr-HR" w:eastAsia="bs-Latn-BA"/>
        </w:rPr>
        <w:t>U situaciji izazvanoj pandemijom COVID-19 i potrebe promišljanja pružanja usluga psihijatrijskim pacijentima koji su pozitivni na COVID-19, imajući u vidu specifičnosti ovih usluga, a osobito usluga u urgentnoj službi za pacijente koji su preplavljeni anksioznošću, agitirani i/ili delirantni pa zahtijevaju tzv. brzu trankvilizaciju</w:t>
      </w:r>
      <w:r w:rsidR="00DD2BDE">
        <w:rPr>
          <w:rFonts w:eastAsia="Times New Roman" w:cstheme="minorHAnsi"/>
          <w:color w:val="0E0E0E"/>
          <w:kern w:val="36"/>
          <w:lang w:val="hr-HR" w:eastAsia="bs-Latn-BA"/>
        </w:rPr>
        <w:t>/smirivanje</w:t>
      </w:r>
      <w:r>
        <w:rPr>
          <w:rFonts w:eastAsia="Times New Roman" w:cstheme="minorHAnsi"/>
          <w:color w:val="0E0E0E"/>
          <w:kern w:val="36"/>
          <w:lang w:val="hr-HR" w:eastAsia="bs-Latn-BA"/>
        </w:rPr>
        <w:t xml:space="preserve">, u vodećim kliničkim vodiljama pojavljuju se sve više preporuke za tretman ovih </w:t>
      </w:r>
      <w:r w:rsidR="008E7B20">
        <w:rPr>
          <w:rFonts w:eastAsia="Times New Roman" w:cstheme="minorHAnsi"/>
          <w:color w:val="0E0E0E"/>
          <w:kern w:val="36"/>
          <w:lang w:val="hr-HR" w:eastAsia="bs-Latn-BA"/>
        </w:rPr>
        <w:t>stanja</w:t>
      </w:r>
      <w:r>
        <w:rPr>
          <w:rFonts w:eastAsia="Times New Roman" w:cstheme="minorHAnsi"/>
          <w:color w:val="0E0E0E"/>
          <w:kern w:val="36"/>
          <w:lang w:val="hr-HR" w:eastAsia="bs-Latn-BA"/>
        </w:rPr>
        <w:t xml:space="preserve"> na način koji pruža sigurnost zdravstvenim radnicima (osim upotrebe LZO) i reduciraju mogućnost infekcije promptnim intervencijama u cilju redukcije intenzivnih manifestacija bihevioralnog poremećaja.</w:t>
      </w:r>
    </w:p>
    <w:p w:rsidR="005976F5" w:rsidRDefault="00F74915" w:rsidP="005976F5">
      <w:pPr>
        <w:shd w:val="clear" w:color="auto" w:fill="FFFFFF" w:themeFill="background1"/>
        <w:spacing w:after="0" w:line="240" w:lineRule="auto"/>
        <w:ind w:firstLine="706"/>
        <w:jc w:val="both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r>
        <w:rPr>
          <w:rFonts w:eastAsia="Times New Roman" w:cstheme="minorHAnsi"/>
          <w:color w:val="0E0E0E"/>
          <w:kern w:val="36"/>
          <w:lang w:val="hr-HR" w:eastAsia="bs-Latn-BA"/>
        </w:rPr>
        <w:t xml:space="preserve">Tako na primjer </w:t>
      </w:r>
      <w:r w:rsidR="00962646">
        <w:rPr>
          <w:rFonts w:eastAsia="Times New Roman" w:cstheme="minorHAnsi"/>
          <w:color w:val="0E0E0E"/>
          <w:kern w:val="36"/>
          <w:lang w:val="hr-HR" w:eastAsia="bs-Latn-BA"/>
        </w:rPr>
        <w:t>FDA nakon duge pauze zbog 'black box warning' vezan za produženje QT intervala,</w:t>
      </w:r>
      <w:r w:rsidR="008E7B20">
        <w:rPr>
          <w:rFonts w:eastAsia="Times New Roman" w:cstheme="minorHAnsi"/>
          <w:color w:val="0E0E0E"/>
          <w:kern w:val="36"/>
          <w:lang w:val="hr-HR" w:eastAsia="bs-Latn-BA"/>
        </w:rPr>
        <w:t xml:space="preserve"> još</w:t>
      </w:r>
      <w:r w:rsidR="00962646">
        <w:rPr>
          <w:rFonts w:eastAsia="Times New Roman" w:cstheme="minorHAnsi"/>
          <w:color w:val="0E0E0E"/>
          <w:kern w:val="36"/>
          <w:lang w:val="hr-HR" w:eastAsia="bs-Latn-BA"/>
        </w:rPr>
        <w:t xml:space="preserve"> u Februaru 2019 vraća droperidol na tržište SAD sa indikacijom sedacije</w:t>
      </w:r>
      <w:r w:rsidR="005976F5">
        <w:rPr>
          <w:rFonts w:eastAsia="Times New Roman" w:cstheme="minorHAnsi"/>
          <w:color w:val="0E0E0E"/>
          <w:kern w:val="36"/>
          <w:lang w:val="hr-HR" w:eastAsia="bs-Latn-BA"/>
        </w:rPr>
        <w:t xml:space="preserve"> </w:t>
      </w:r>
    </w:p>
    <w:p w:rsidR="005976F5" w:rsidRDefault="00962646" w:rsidP="005976F5">
      <w:pPr>
        <w:shd w:val="clear" w:color="auto" w:fill="FFFFFF" w:themeFill="background1"/>
        <w:spacing w:after="0" w:line="240" w:lineRule="auto"/>
        <w:ind w:firstLine="706"/>
        <w:jc w:val="both"/>
        <w:outlineLvl w:val="0"/>
      </w:pPr>
      <w:r>
        <w:rPr>
          <w:rFonts w:eastAsia="Times New Roman" w:cstheme="minorHAnsi"/>
          <w:color w:val="0E0E0E"/>
          <w:kern w:val="36"/>
          <w:lang w:val="hr-HR" w:eastAsia="bs-Latn-BA"/>
        </w:rPr>
        <w:t xml:space="preserve"> (</w:t>
      </w:r>
      <w:hyperlink r:id="rId7" w:history="1">
        <w:r>
          <w:rPr>
            <w:rStyle w:val="Hyperlink"/>
          </w:rPr>
          <w:t>https://www.medscape.com/viewarticle/925772</w:t>
        </w:r>
      </w:hyperlink>
      <w:r>
        <w:t xml:space="preserve">). </w:t>
      </w:r>
    </w:p>
    <w:p w:rsidR="005976F5" w:rsidRDefault="005976F5" w:rsidP="005976F5">
      <w:pPr>
        <w:shd w:val="clear" w:color="auto" w:fill="FFFFFF" w:themeFill="background1"/>
        <w:spacing w:after="0" w:line="240" w:lineRule="auto"/>
        <w:ind w:firstLine="706"/>
        <w:jc w:val="both"/>
        <w:outlineLvl w:val="0"/>
      </w:pPr>
    </w:p>
    <w:p w:rsidR="00F74915" w:rsidRDefault="00962646" w:rsidP="005976F5">
      <w:pPr>
        <w:shd w:val="clear" w:color="auto" w:fill="FFFFFF" w:themeFill="background1"/>
        <w:spacing w:after="0" w:line="240" w:lineRule="auto"/>
        <w:ind w:firstLine="706"/>
        <w:jc w:val="both"/>
        <w:outlineLvl w:val="0"/>
      </w:pPr>
      <w:r>
        <w:t>Ovaj je lijek nakon široke uspješne upotrebe u ov</w:t>
      </w:r>
      <w:r w:rsidR="008E7B20">
        <w:t>o</w:t>
      </w:r>
      <w:r>
        <w:t>j indikaciji misteriozno nestao nakon 2001</w:t>
      </w:r>
      <w:r w:rsidR="005976F5">
        <w:t>.</w:t>
      </w:r>
      <w:r>
        <w:t xml:space="preserve"> kad</w:t>
      </w:r>
      <w:r w:rsidR="008E7B20">
        <w:t>a je dobio 'black box warning'.</w:t>
      </w:r>
      <w:r>
        <w:t xml:space="preserve"> U međuvremenu je i uz haloperidol izdato isto upozorenje </w:t>
      </w:r>
      <w:r w:rsidR="008E7B20">
        <w:t xml:space="preserve">o produženju QT intervala i </w:t>
      </w:r>
      <w:r w:rsidR="00DA5EAA">
        <w:t xml:space="preserve">opasnosti od </w:t>
      </w:r>
      <w:r w:rsidR="00DA5EAA" w:rsidRPr="00DA5EAA">
        <w:rPr>
          <w:i/>
        </w:rPr>
        <w:t>torsade de point</w:t>
      </w:r>
      <w:r w:rsidR="00DA5EAA">
        <w:rPr>
          <w:i/>
        </w:rPr>
        <w:t>e</w:t>
      </w:r>
      <w:r w:rsidR="00DA5EAA" w:rsidRPr="00DA5EAA">
        <w:rPr>
          <w:i/>
        </w:rPr>
        <w:t>s</w:t>
      </w:r>
      <w:r w:rsidR="00DD2BDE">
        <w:rPr>
          <w:i/>
        </w:rPr>
        <w:t xml:space="preserve"> (specifični poremećaj srčanog ritma polimorfne ventrikularne tahikardije)</w:t>
      </w:r>
      <w:r w:rsidR="00DA5EAA">
        <w:t xml:space="preserve">, </w:t>
      </w:r>
      <w:r>
        <w:t>kao i obaveza registracije EKG-a za ovu grupu</w:t>
      </w:r>
      <w:r w:rsidR="008E7B20">
        <w:t xml:space="preserve"> </w:t>
      </w:r>
      <w:r>
        <w:t xml:space="preserve">lijekova, a kasnije i za SGA. </w:t>
      </w:r>
    </w:p>
    <w:p w:rsidR="00DA5EAA" w:rsidRDefault="00DA5EAA" w:rsidP="008E7B2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</w:pPr>
      <w:r>
        <w:t xml:space="preserve">U nastavku teksta je prijevod preporuka </w:t>
      </w:r>
      <w:r w:rsidR="00DD2BDE">
        <w:t>Nacionalnog Instituta za kliničku odličnost „</w:t>
      </w:r>
      <w:r w:rsidR="00DD2BDE" w:rsidRPr="00B96BF5">
        <w:rPr>
          <w:rFonts w:eastAsia="Times New Roman" w:cstheme="minorHAnsi"/>
          <w:color w:val="0E0E0E"/>
          <w:kern w:val="36"/>
          <w:lang w:val="hr-HR" w:eastAsia="bs-Latn-BA"/>
        </w:rPr>
        <w:t>National Institute of Clinical Excellence</w:t>
      </w:r>
      <w:r w:rsidR="00DD2BDE">
        <w:rPr>
          <w:rFonts w:eastAsia="Times New Roman" w:cstheme="minorHAnsi"/>
          <w:color w:val="0E0E0E"/>
          <w:kern w:val="36"/>
          <w:lang w:val="hr-HR" w:eastAsia="bs-Latn-BA"/>
        </w:rPr>
        <w:t>“</w:t>
      </w:r>
      <w:r w:rsidR="00DD2BDE" w:rsidRPr="00B96BF5">
        <w:rPr>
          <w:rFonts w:eastAsia="Times New Roman" w:cstheme="minorHAnsi"/>
          <w:color w:val="0E0E0E"/>
          <w:kern w:val="36"/>
          <w:lang w:val="hr-HR" w:eastAsia="bs-Latn-BA"/>
        </w:rPr>
        <w:t xml:space="preserve"> (NICE) </w:t>
      </w:r>
      <w:r>
        <w:t xml:space="preserve"> za urgentni tretman anksioznosti, agitacije i/ili delirija kod pacijenata koji su pozitivni na COVID-19</w:t>
      </w:r>
      <w:r w:rsidR="00DD2BDE">
        <w:t>,</w:t>
      </w:r>
      <w:r>
        <w:t xml:space="preserve"> čija je zadnja revizija sačinjena 22.04.2020. Svi spomenuti lijekovi su dostupni na našem tržištu, ali mislim da su iskustva sa supkutanom aplikacijom parenteralne terapije u našoj sredini skromna.</w:t>
      </w:r>
    </w:p>
    <w:p w:rsidR="00DA5EAA" w:rsidRDefault="00DA5EAA" w:rsidP="008E7B2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</w:pPr>
      <w:r>
        <w:t>Valja n</w:t>
      </w:r>
      <w:r w:rsidR="00DD2BDE">
        <w:t>a</w:t>
      </w:r>
      <w:r>
        <w:t>pomenuti da svi zdravstveni profesionalci angaž</w:t>
      </w:r>
      <w:r w:rsidR="00DD2BDE">
        <w:t>ovan</w:t>
      </w:r>
      <w:r>
        <w:t xml:space="preserve">i u pružanju ovih usluga trebaju koristiti </w:t>
      </w:r>
      <w:r w:rsidR="00DD2BDE">
        <w:t>ličnu zaštitnu opremu (</w:t>
      </w:r>
      <w:r>
        <w:t>LZO</w:t>
      </w:r>
      <w:r w:rsidR="00DD2BDE">
        <w:t>)</w:t>
      </w:r>
      <w:r>
        <w:t xml:space="preserve"> prvog reda (odijelo, FFP 3 masku, vizir, duple rukavice i kaljače). Dužnost je rukovodioca da svim uposlenicima omoguće praktičnu obuku za upotrebu LZO. Također treba podsjetiti na obavezu registriranja EKG-a čim pacijent bude adekvatno sediran kao i na to da u ambulanti u kojoj se pružaju usluge moramo imati i ampulirani flumazenil.</w:t>
      </w:r>
    </w:p>
    <w:p w:rsidR="00DA5EAA" w:rsidRDefault="00DD2BDE" w:rsidP="008E7B2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</w:pPr>
      <w:r>
        <w:t xml:space="preserve">U prilogu ovog teksta su vodilje za supkutanu aplikaciju psihofarmaka </w:t>
      </w:r>
      <w:bookmarkStart w:id="0" w:name="_GoBack"/>
      <w:bookmarkEnd w:id="0"/>
      <w:r w:rsidR="00DA5EAA">
        <w:t xml:space="preserve">i Clinical Frailty Scale kao i odabir recentnijih referenci iz područja brze trankvilizacije. </w:t>
      </w:r>
    </w:p>
    <w:p w:rsidR="00C52615" w:rsidRDefault="00DA5EAA" w:rsidP="00C52615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r>
        <w:t>Prof dr Alma Džubur Kulenović</w:t>
      </w:r>
    </w:p>
    <w:p w:rsidR="00F74915" w:rsidRDefault="008E7B20" w:rsidP="00C52615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r>
        <w:rPr>
          <w:rFonts w:eastAsia="Times New Roman" w:cstheme="minorHAnsi"/>
          <w:color w:val="0E0E0E"/>
          <w:kern w:val="36"/>
          <w:lang w:val="hr-HR" w:eastAsia="bs-Latn-BA"/>
        </w:rPr>
        <w:tab/>
      </w:r>
    </w:p>
    <w:p w:rsidR="00A617F2" w:rsidRPr="00B96BF5" w:rsidRDefault="00A617F2" w:rsidP="00A617F2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r w:rsidRPr="00B96BF5">
        <w:rPr>
          <w:rFonts w:eastAsia="Times New Roman" w:cstheme="minorHAnsi"/>
          <w:color w:val="0E0E0E"/>
          <w:kern w:val="36"/>
          <w:lang w:val="hr-HR" w:eastAsia="bs-Latn-BA"/>
        </w:rPr>
        <w:t>Na web stranici National Institute of Clinical Excellence (NICE) su 22.</w:t>
      </w:r>
      <w:r w:rsidR="00E35638">
        <w:rPr>
          <w:rFonts w:eastAsia="Times New Roman" w:cstheme="minorHAnsi"/>
          <w:color w:val="0E0E0E"/>
          <w:kern w:val="36"/>
          <w:lang w:val="hr-HR" w:eastAsia="bs-Latn-BA"/>
        </w:rPr>
        <w:t xml:space="preserve"> </w:t>
      </w:r>
      <w:r w:rsidRPr="00B96BF5">
        <w:rPr>
          <w:rFonts w:eastAsia="Times New Roman" w:cstheme="minorHAnsi"/>
          <w:color w:val="0E0E0E"/>
          <w:kern w:val="36"/>
          <w:lang w:val="hr-HR" w:eastAsia="bs-Latn-BA"/>
        </w:rPr>
        <w:t xml:space="preserve">aprila 2020. objavljene </w:t>
      </w:r>
    </w:p>
    <w:p w:rsidR="00A617F2" w:rsidRDefault="00A617F2" w:rsidP="00B96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E0E0E"/>
          <w:kern w:val="36"/>
          <w:sz w:val="32"/>
          <w:szCs w:val="32"/>
          <w:lang w:val="hr-HR" w:eastAsia="bs-Latn-BA"/>
        </w:rPr>
      </w:pPr>
      <w:r w:rsidRPr="00A617F2">
        <w:rPr>
          <w:rFonts w:eastAsia="Times New Roman" w:cstheme="minorHAnsi"/>
          <w:b/>
          <w:color w:val="0E0E0E"/>
          <w:kern w:val="36"/>
          <w:sz w:val="32"/>
          <w:szCs w:val="32"/>
          <w:lang w:val="hr-HR" w:eastAsia="bs-Latn-BA"/>
        </w:rPr>
        <w:t>COVID-19 rapid guideline: managing symptoms (including at the end of life) in the community</w:t>
      </w:r>
    </w:p>
    <w:p w:rsidR="0029722D" w:rsidRPr="00B96BF5" w:rsidRDefault="0029722D" w:rsidP="00B96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E0E0E"/>
          <w:kern w:val="36"/>
          <w:sz w:val="32"/>
          <w:szCs w:val="32"/>
          <w:lang w:val="hr-HR" w:eastAsia="bs-Latn-BA"/>
        </w:rPr>
      </w:pPr>
      <w:r>
        <w:rPr>
          <w:rFonts w:eastAsia="Times New Roman" w:cstheme="minorHAnsi"/>
          <w:b/>
          <w:color w:val="0E0E0E"/>
          <w:kern w:val="36"/>
          <w:sz w:val="32"/>
          <w:szCs w:val="32"/>
          <w:lang w:val="hr-HR" w:eastAsia="bs-Latn-BA"/>
        </w:rPr>
        <w:t>COVID – 19 brze vodilje: tretman simptoma (uključujući i odluke vezane za kraj života) u zajednici</w:t>
      </w:r>
    </w:p>
    <w:p w:rsidR="00A617F2" w:rsidRPr="00A617F2" w:rsidRDefault="00AD1A9E" w:rsidP="00A617F2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0E0E0E"/>
          <w:kern w:val="36"/>
          <w:lang w:val="hr-HR" w:eastAsia="bs-Latn-BA"/>
        </w:rPr>
      </w:pPr>
      <w:hyperlink r:id="rId8" w:history="1">
        <w:r w:rsidR="00A617F2" w:rsidRPr="00B96BF5">
          <w:rPr>
            <w:rStyle w:val="Hyperlink"/>
            <w:rFonts w:cstheme="minorHAnsi"/>
            <w:lang w:val="hr-HR"/>
          </w:rPr>
          <w:t>https://www.nice.org.uk/guidance/ng163/chapter/7-Managing-anxiety-delirium-and-agitation</w:t>
        </w:r>
      </w:hyperlink>
    </w:p>
    <w:p w:rsidR="00A617F2" w:rsidRPr="00B96BF5" w:rsidRDefault="00A617F2" w:rsidP="00A617F2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t>NICE guideline [NG163]Published date: 03 April 2020 Last updated: 22 April 2020</w:t>
      </w:r>
    </w:p>
    <w:p w:rsidR="00A617F2" w:rsidRPr="00B96BF5" w:rsidRDefault="00A617F2" w:rsidP="00B96BF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lastRenderedPageBreak/>
        <w:t xml:space="preserve">U sklopu kojih se nalazi i poglavlje 7, vodilje za tretman anksioznosti, delirija i agitacije kod pacijenata oboljelih od </w:t>
      </w:r>
      <w:r w:rsidRPr="00B96BF5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hr-HR"/>
        </w:rPr>
        <w:t>SARS</w:t>
      </w:r>
      <w:r w:rsidRPr="00B96BF5">
        <w:rPr>
          <w:rFonts w:cstheme="minorHAnsi"/>
          <w:shd w:val="clear" w:color="auto" w:fill="FFFFFF"/>
          <w:lang w:val="hr-HR"/>
        </w:rPr>
        <w:t>-CoV-</w:t>
      </w:r>
      <w:r w:rsidRPr="00B96BF5">
        <w:rPr>
          <w:rStyle w:val="Emphasis"/>
          <w:rFonts w:cstheme="minorHAnsi"/>
          <w:b/>
          <w:bCs/>
          <w:i w:val="0"/>
          <w:iCs w:val="0"/>
          <w:shd w:val="clear" w:color="auto" w:fill="FFFFFF"/>
          <w:lang w:val="hr-HR"/>
        </w:rPr>
        <w:t>2</w:t>
      </w:r>
      <w:r w:rsidRPr="00B96BF5">
        <w:rPr>
          <w:rFonts w:eastAsia="Times New Roman" w:cstheme="minorHAnsi"/>
          <w:lang w:val="hr-HR" w:eastAsia="bs-Latn-BA"/>
        </w:rPr>
        <w:t>: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 </w:t>
      </w:r>
      <w:r w:rsidRPr="00B96BF5">
        <w:rPr>
          <w:rFonts w:cstheme="minorHAnsi"/>
          <w:color w:val="0E0E0E"/>
          <w:shd w:val="clear" w:color="auto" w:fill="FFFFFF" w:themeFill="background1"/>
          <w:lang w:val="hr-HR"/>
        </w:rPr>
        <w:t>Managing anxiety, delirium and agitation</w:t>
      </w:r>
    </w:p>
    <w:p w:rsidR="00A617F2" w:rsidRPr="00B96BF5" w:rsidRDefault="00A617F2" w:rsidP="00A617F2">
      <w:pPr>
        <w:rPr>
          <w:rFonts w:cstheme="minorHAnsi"/>
          <w:lang w:val="hr-HR"/>
        </w:rPr>
      </w:pPr>
      <w:r w:rsidRPr="00B96BF5">
        <w:rPr>
          <w:rFonts w:cstheme="minorHAnsi"/>
          <w:lang w:val="hr-HR"/>
        </w:rPr>
        <w:t xml:space="preserve">Ove će vodilje biti redovito revidirane i obnavljane. </w:t>
      </w:r>
    </w:p>
    <w:p w:rsidR="00A617F2" w:rsidRPr="0029722D" w:rsidRDefault="0029722D" w:rsidP="0029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b/>
          <w:color w:val="0E0E0E"/>
          <w:sz w:val="32"/>
          <w:szCs w:val="32"/>
          <w:lang w:val="hr-HR" w:eastAsia="bs-Latn-BA"/>
        </w:rPr>
      </w:pPr>
      <w:r w:rsidRPr="0029722D">
        <w:rPr>
          <w:rFonts w:eastAsia="Times New Roman" w:cstheme="minorHAnsi"/>
          <w:b/>
          <w:color w:val="0E0E0E"/>
          <w:sz w:val="32"/>
          <w:szCs w:val="32"/>
          <w:lang w:val="hr-HR" w:eastAsia="bs-Latn-BA"/>
        </w:rPr>
        <w:t xml:space="preserve">7 </w:t>
      </w:r>
      <w:r w:rsidR="008E7B20">
        <w:rPr>
          <w:rFonts w:eastAsia="Times New Roman" w:cstheme="minorHAnsi"/>
          <w:b/>
          <w:color w:val="0E0E0E"/>
          <w:sz w:val="32"/>
          <w:szCs w:val="32"/>
          <w:lang w:val="hr-HR" w:eastAsia="bs-Latn-BA"/>
        </w:rPr>
        <w:tab/>
      </w:r>
      <w:r w:rsidRPr="0029722D">
        <w:rPr>
          <w:rFonts w:eastAsia="Times New Roman" w:cstheme="minorHAnsi"/>
          <w:b/>
          <w:color w:val="0E0E0E"/>
          <w:sz w:val="32"/>
          <w:szCs w:val="32"/>
          <w:lang w:val="hr-HR" w:eastAsia="bs-Latn-BA"/>
        </w:rPr>
        <w:t xml:space="preserve">Vodilje za tretman anksioznosti, delirija i agitacije </w:t>
      </w:r>
    </w:p>
    <w:p w:rsidR="0029722D" w:rsidRPr="0029722D" w:rsidRDefault="00077EBE" w:rsidP="0029722D">
      <w:pPr>
        <w:pStyle w:val="ListParagraph"/>
        <w:numPr>
          <w:ilvl w:val="1"/>
          <w:numId w:val="3"/>
        </w:num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29722D">
        <w:rPr>
          <w:rFonts w:eastAsia="Times New Roman" w:cstheme="minorHAnsi"/>
          <w:color w:val="0E0E0E"/>
          <w:lang w:val="hr-HR" w:eastAsia="bs-Latn-BA"/>
        </w:rPr>
        <w:tab/>
      </w:r>
      <w:r w:rsidR="005828D7" w:rsidRPr="0029722D">
        <w:rPr>
          <w:rFonts w:eastAsia="Times New Roman" w:cstheme="minorHAnsi"/>
          <w:color w:val="0E0E0E"/>
          <w:lang w:val="hr-HR" w:eastAsia="bs-Latn-BA"/>
        </w:rPr>
        <w:t>Prvo e</w:t>
      </w:r>
      <w:r w:rsidR="00A617F2" w:rsidRPr="0029722D">
        <w:rPr>
          <w:rFonts w:eastAsia="Times New Roman" w:cstheme="minorHAnsi"/>
          <w:color w:val="0E0E0E"/>
          <w:lang w:val="hr-HR" w:eastAsia="bs-Latn-BA"/>
        </w:rPr>
        <w:t xml:space="preserve">valuirajte </w:t>
      </w:r>
      <w:r w:rsidR="005828D7" w:rsidRPr="0029722D">
        <w:rPr>
          <w:rFonts w:eastAsia="Times New Roman" w:cstheme="minorHAnsi"/>
          <w:color w:val="0E0E0E"/>
          <w:lang w:val="hr-HR" w:eastAsia="bs-Latn-BA"/>
        </w:rPr>
        <w:t xml:space="preserve">moguće </w:t>
      </w:r>
      <w:r w:rsidR="00A617F2" w:rsidRPr="0029722D">
        <w:rPr>
          <w:rFonts w:eastAsia="Times New Roman" w:cstheme="minorHAnsi"/>
          <w:color w:val="0E0E0E"/>
          <w:lang w:val="hr-HR" w:eastAsia="bs-Latn-BA"/>
        </w:rPr>
        <w:t>reverzibilne uzr</w:t>
      </w:r>
      <w:r w:rsidR="005828D7" w:rsidRPr="0029722D">
        <w:rPr>
          <w:rFonts w:eastAsia="Times New Roman" w:cstheme="minorHAnsi"/>
          <w:color w:val="0E0E0E"/>
          <w:lang w:val="hr-HR" w:eastAsia="bs-Latn-BA"/>
        </w:rPr>
        <w:t>oke anksioznosti, delirija ili ag</w:t>
      </w:r>
      <w:r w:rsidR="00E35638" w:rsidRPr="0029722D">
        <w:rPr>
          <w:rFonts w:eastAsia="Times New Roman" w:cstheme="minorHAnsi"/>
          <w:color w:val="0E0E0E"/>
          <w:lang w:val="hr-HR" w:eastAsia="bs-Latn-BA"/>
        </w:rPr>
        <w:t>i</w:t>
      </w:r>
      <w:r w:rsidR="005828D7" w:rsidRPr="0029722D">
        <w:rPr>
          <w:rFonts w:eastAsia="Times New Roman" w:cstheme="minorHAnsi"/>
          <w:color w:val="0E0E0E"/>
          <w:lang w:val="hr-HR" w:eastAsia="bs-Latn-BA"/>
        </w:rPr>
        <w:t xml:space="preserve">tacije: </w:t>
      </w:r>
    </w:p>
    <w:p w:rsidR="0029722D" w:rsidRDefault="005828D7" w:rsidP="0029722D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29722D">
        <w:rPr>
          <w:rFonts w:eastAsia="Times New Roman" w:cstheme="minorHAnsi"/>
          <w:color w:val="0E0E0E"/>
          <w:lang w:val="hr-HR" w:eastAsia="bs-Latn-BA"/>
        </w:rPr>
        <w:t xml:space="preserve">Ispitajte uzroke pacijentove zabrinutosti ili tjeskobe </w:t>
      </w:r>
    </w:p>
    <w:p w:rsidR="0029722D" w:rsidRDefault="005828D7" w:rsidP="0029722D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29722D">
        <w:rPr>
          <w:rFonts w:eastAsia="Times New Roman" w:cstheme="minorHAnsi"/>
          <w:color w:val="0E0E0E"/>
          <w:lang w:val="hr-HR" w:eastAsia="bs-Latn-BA"/>
        </w:rPr>
        <w:t xml:space="preserve">Osigurajte </w:t>
      </w:r>
      <w:r w:rsidR="00077EBE" w:rsidRPr="0029722D">
        <w:rPr>
          <w:rFonts w:eastAsia="Times New Roman" w:cstheme="minorHAnsi"/>
          <w:color w:val="0E0E0E"/>
          <w:lang w:val="hr-HR" w:eastAsia="bs-Latn-BA"/>
        </w:rPr>
        <w:t>maksimalno dobre uvjete za komunikaciju i orijentaciju (npr. Objasnite pacijentu gdje se nalazi, što je Vaša uloga itd.)</w:t>
      </w:r>
    </w:p>
    <w:p w:rsidR="0029722D" w:rsidRDefault="00077EBE" w:rsidP="0029722D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29722D">
        <w:rPr>
          <w:rFonts w:eastAsia="Times New Roman" w:cstheme="minorHAnsi"/>
          <w:color w:val="0E0E0E"/>
          <w:lang w:val="hr-HR" w:eastAsia="bs-Latn-BA"/>
        </w:rPr>
        <w:t>Osigurajte da se susret odvija u sobi koja je adekvatno os</w:t>
      </w:r>
      <w:r w:rsidR="00E35638" w:rsidRPr="0029722D">
        <w:rPr>
          <w:rFonts w:eastAsia="Times New Roman" w:cstheme="minorHAnsi"/>
          <w:color w:val="0E0E0E"/>
          <w:lang w:val="hr-HR" w:eastAsia="bs-Latn-BA"/>
        </w:rPr>
        <w:t>v</w:t>
      </w:r>
      <w:r w:rsidRPr="0029722D">
        <w:rPr>
          <w:rFonts w:eastAsia="Times New Roman" w:cstheme="minorHAnsi"/>
          <w:color w:val="0E0E0E"/>
          <w:lang w:val="hr-HR" w:eastAsia="bs-Latn-BA"/>
        </w:rPr>
        <w:t>ijetljena.</w:t>
      </w:r>
    </w:p>
    <w:p w:rsidR="00077EBE" w:rsidRPr="0029722D" w:rsidRDefault="00077EBE" w:rsidP="0029722D">
      <w:pPr>
        <w:pStyle w:val="ListParagraph"/>
        <w:numPr>
          <w:ilvl w:val="0"/>
          <w:numId w:val="2"/>
        </w:num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29722D">
        <w:rPr>
          <w:rFonts w:eastAsia="Times New Roman" w:cstheme="minorHAnsi"/>
          <w:color w:val="0E0E0E"/>
          <w:lang w:val="hr-HR" w:eastAsia="bs-Latn-BA"/>
        </w:rPr>
        <w:t>Objasnite pratnji pacijenta kako oni mogu pomoći.</w:t>
      </w:r>
    </w:p>
    <w:p w:rsidR="00077EBE" w:rsidRPr="00B96BF5" w:rsidRDefault="00A617F2" w:rsidP="00077EBE">
      <w:pPr>
        <w:shd w:val="clear" w:color="auto" w:fill="FFFFFF" w:themeFill="background1"/>
        <w:spacing w:after="150" w:line="301" w:lineRule="atLeast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t>7.2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ab/>
      </w:r>
      <w:r w:rsidRPr="00A617F2">
        <w:rPr>
          <w:rFonts w:eastAsia="Times New Roman" w:cstheme="minorHAnsi"/>
          <w:color w:val="0E0E0E"/>
          <w:lang w:val="hr-HR" w:eastAsia="bs-Latn-BA"/>
        </w:rPr>
        <w:t>Tre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>tirajte reverzibilne uzroke anksioznosti ili delirija sa ili bez agitacije, npr hipoksiju, retenciju urina ili opstipaciju.</w:t>
      </w:r>
    </w:p>
    <w:p w:rsidR="00077EBE" w:rsidRPr="00B96BF5" w:rsidRDefault="00A617F2" w:rsidP="00077EBE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t>7.3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ab/>
        <w:t xml:space="preserve">Razmotrite da pokušate tretirati simptome anksioznosti, agitacije ili delirija sa benzodijazepinom  (vidjeti Tabelu 6 vezano za tretman anksioznosti, delirija ili agitacije). </w:t>
      </w:r>
    </w:p>
    <w:p w:rsidR="00A617F2" w:rsidRPr="00B96BF5" w:rsidRDefault="00A617F2" w:rsidP="00077EBE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A617F2">
        <w:rPr>
          <w:rFonts w:eastAsia="Times New Roman" w:cstheme="minorHAnsi"/>
          <w:color w:val="0E0E0E"/>
          <w:lang w:val="hr-HR" w:eastAsia="bs-Latn-BA"/>
        </w:rPr>
        <w:br/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 xml:space="preserve">U trenutku objavljivanja ovih vodilja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 (April 2020), midazolam 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>i levomepromazin nisu imali marketinšku autorizaciju u UK za ovu i</w:t>
      </w:r>
      <w:r w:rsidR="00E35638">
        <w:rPr>
          <w:rFonts w:eastAsia="Times New Roman" w:cstheme="minorHAnsi"/>
          <w:color w:val="0E0E0E"/>
          <w:lang w:val="hr-HR" w:eastAsia="bs-Latn-BA"/>
        </w:rPr>
        <w:t>n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 xml:space="preserve">dikaciju i način davanja lijeka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 (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 xml:space="preserve">vidjeti </w:t>
      </w:r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hyperlink r:id="rId9" w:tgtFrame="_top" w:history="1">
        <w:r w:rsidRPr="00B96BF5">
          <w:rPr>
            <w:rFonts w:eastAsia="Times New Roman" w:cstheme="minorHAnsi"/>
            <w:color w:val="005EA5"/>
            <w:u w:val="single"/>
            <w:lang w:val="hr-HR" w:eastAsia="bs-Latn-BA"/>
          </w:rPr>
          <w:t>General Medical Council's guidance on prescribing unlicensed medicines</w:t>
        </w:r>
      </w:hyperlink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r w:rsidR="00077EBE" w:rsidRPr="00B96BF5">
        <w:rPr>
          <w:rFonts w:eastAsia="Times New Roman" w:cstheme="minorHAnsi"/>
          <w:color w:val="0E0E0E"/>
          <w:lang w:val="hr-HR" w:eastAsia="bs-Latn-BA"/>
        </w:rPr>
        <w:t xml:space="preserve"> za dodatne informacije</w:t>
      </w:r>
      <w:r w:rsidRPr="00A617F2">
        <w:rPr>
          <w:rFonts w:eastAsia="Times New Roman" w:cstheme="minorHAnsi"/>
          <w:color w:val="0E0E0E"/>
          <w:lang w:val="hr-HR" w:eastAsia="bs-Latn-BA"/>
        </w:rPr>
        <w:t>).</w:t>
      </w:r>
    </w:p>
    <w:p w:rsidR="000E15E3" w:rsidRPr="00B96BF5" w:rsidRDefault="000E15E3" w:rsidP="00077EBE">
      <w:pPr>
        <w:shd w:val="clear" w:color="auto" w:fill="FFFFFF" w:themeFill="background1"/>
        <w:spacing w:after="150" w:line="240" w:lineRule="auto"/>
        <w:rPr>
          <w:rFonts w:eastAsia="Times New Roman" w:cstheme="minorHAnsi"/>
          <w:b/>
          <w:bCs/>
          <w:lang w:val="hr-HR" w:eastAsia="bs-Latn-BA"/>
        </w:rPr>
      </w:pPr>
    </w:p>
    <w:p w:rsidR="00C307B0" w:rsidRPr="00B96BF5" w:rsidRDefault="000E15E3" w:rsidP="00077EBE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b/>
          <w:bCs/>
          <w:lang w:val="hr-HR" w:eastAsia="bs-Latn-BA"/>
        </w:rPr>
        <w:t>Tabela 6  Modaliteti liječenja anksioznosti, delirija i agitacije kod pacijenata u dobi od 18 godina i više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E15E3" w:rsidRPr="00B96BF5" w:rsidTr="00DA5EAA">
        <w:tc>
          <w:tcPr>
            <w:tcW w:w="4644" w:type="dxa"/>
          </w:tcPr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 xml:space="preserve">Tretman </w:t>
            </w:r>
          </w:p>
        </w:tc>
        <w:tc>
          <w:tcPr>
            <w:tcW w:w="4644" w:type="dxa"/>
          </w:tcPr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b/>
                <w:bCs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>Doza</w:t>
            </w:r>
            <w:r w:rsidRPr="00A617F2">
              <w:rPr>
                <w:rFonts w:eastAsia="Times New Roman" w:cstheme="minorHAnsi"/>
                <w:b/>
                <w:bCs/>
                <w:lang w:val="hr-HR" w:eastAsia="bs-Latn-BA"/>
              </w:rPr>
              <w:br/>
            </w: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>Kod pacijenata sa COVID-19 mogu biti potrebne više doze za olakšavanje simptoma.</w:t>
            </w:r>
          </w:p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 xml:space="preserve">Niže doze mogu biti potrebne kod pacijenata sa nižim BMI ili </w:t>
            </w:r>
            <w:r w:rsidR="0029722D">
              <w:rPr>
                <w:rFonts w:eastAsia="Times New Roman" w:cstheme="minorHAnsi"/>
                <w:b/>
                <w:bCs/>
                <w:lang w:val="hr-HR" w:eastAsia="bs-Latn-BA"/>
              </w:rPr>
              <w:t>lošijim CFS (Clinical Frailty Scale</w:t>
            </w: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 xml:space="preserve">). 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 xml:space="preserve">Doze se baziraju na </w:t>
            </w:r>
            <w:r w:rsidRPr="00A617F2">
              <w:rPr>
                <w:rFonts w:eastAsia="Times New Roman" w:cstheme="minorHAnsi"/>
                <w:lang w:val="hr-HR" w:eastAsia="bs-Latn-BA"/>
              </w:rPr>
              <w:t> </w:t>
            </w:r>
            <w:hyperlink r:id="rId10" w:anchor="/" w:tgtFrame="_top" w:history="1">
              <w:r w:rsidRPr="00B96BF5">
                <w:rPr>
                  <w:rFonts w:eastAsia="Times New Roman" w:cstheme="minorHAnsi"/>
                  <w:color w:val="005EA5"/>
                  <w:u w:val="single"/>
                  <w:lang w:val="hr-HR" w:eastAsia="bs-Latn-BA"/>
                </w:rPr>
                <w:t>BNF</w:t>
              </w:r>
            </w:hyperlink>
            <w:r w:rsidRPr="00A617F2">
              <w:rPr>
                <w:rFonts w:eastAsia="Times New Roman" w:cstheme="minorHAnsi"/>
                <w:lang w:val="hr-HR" w:eastAsia="bs-Latn-BA"/>
              </w:rPr>
              <w:t> </w:t>
            </w:r>
            <w:r w:rsidRPr="00B96BF5">
              <w:rPr>
                <w:rFonts w:eastAsia="Times New Roman" w:cstheme="minorHAnsi"/>
                <w:lang w:val="hr-HR" w:eastAsia="bs-Latn-BA"/>
              </w:rPr>
              <w:t>i</w:t>
            </w:r>
            <w:r w:rsidRPr="00A617F2">
              <w:rPr>
                <w:rFonts w:eastAsia="Times New Roman" w:cstheme="minorHAnsi"/>
                <w:lang w:val="hr-HR" w:eastAsia="bs-Latn-BA"/>
              </w:rPr>
              <w:t> </w:t>
            </w:r>
            <w:hyperlink r:id="rId11" w:tgtFrame="_top" w:history="1">
              <w:r w:rsidRPr="00B96BF5">
                <w:rPr>
                  <w:rFonts w:eastAsia="Times New Roman" w:cstheme="minorHAnsi"/>
                  <w:color w:val="005EA5"/>
                  <w:u w:val="single"/>
                  <w:lang w:val="hr-HR" w:eastAsia="bs-Latn-BA"/>
                </w:rPr>
                <w:t>Palliative care formulary</w:t>
              </w:r>
            </w:hyperlink>
          </w:p>
        </w:tc>
      </w:tr>
      <w:tr w:rsidR="000E15E3" w:rsidRPr="00B96BF5" w:rsidTr="00DA5EAA">
        <w:tc>
          <w:tcPr>
            <w:tcW w:w="4644" w:type="dxa"/>
          </w:tcPr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>Anksioznost ili agitacija kod pacijenta koji je sposoban progutati lijek</w:t>
            </w:r>
            <w:r w:rsidRPr="00A617F2">
              <w:rPr>
                <w:rFonts w:eastAsia="Times New Roman" w:cstheme="minorHAnsi"/>
                <w:lang w:val="hr-HR" w:eastAsia="bs-Latn-BA"/>
              </w:rPr>
              <w:t>: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>lorazepam tablet</w:t>
            </w:r>
            <w:r w:rsidRPr="00B96BF5">
              <w:rPr>
                <w:rFonts w:eastAsia="Times New Roman" w:cstheme="minorHAnsi"/>
                <w:lang w:val="hr-HR" w:eastAsia="bs-Latn-BA"/>
              </w:rPr>
              <w:t>e</w:t>
            </w:r>
          </w:p>
        </w:tc>
        <w:tc>
          <w:tcPr>
            <w:tcW w:w="4644" w:type="dxa"/>
          </w:tcPr>
          <w:p w:rsidR="000E15E3" w:rsidRPr="00A617F2" w:rsidRDefault="00E35638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>
              <w:rPr>
                <w:rFonts w:eastAsia="Times New Roman" w:cstheme="minorHAnsi"/>
                <w:lang w:val="hr-HR" w:eastAsia="bs-Latn-BA"/>
              </w:rPr>
              <w:t xml:space="preserve">Lorazepam 0.5 mg </w:t>
            </w:r>
            <w:r w:rsidR="000E15E3" w:rsidRPr="00B96BF5">
              <w:rPr>
                <w:rFonts w:eastAsia="Times New Roman" w:cstheme="minorHAnsi"/>
                <w:lang w:val="hr-HR" w:eastAsia="bs-Latn-BA"/>
              </w:rPr>
              <w:t>do</w:t>
            </w:r>
            <w:r w:rsidR="000E15E3" w:rsidRPr="00A617F2">
              <w:rPr>
                <w:rFonts w:eastAsia="Times New Roman" w:cstheme="minorHAnsi"/>
                <w:lang w:val="hr-HR" w:eastAsia="bs-Latn-BA"/>
              </w:rPr>
              <w:t xml:space="preserve"> 1 mg </w:t>
            </w:r>
            <w:r w:rsidR="000E15E3" w:rsidRPr="00B96BF5">
              <w:rPr>
                <w:rFonts w:eastAsia="Times New Roman" w:cstheme="minorHAnsi"/>
                <w:lang w:val="hr-HR" w:eastAsia="bs-Latn-BA"/>
              </w:rPr>
              <w:t xml:space="preserve">do </w:t>
            </w:r>
            <w:r w:rsidR="000E15E3" w:rsidRPr="00A617F2">
              <w:rPr>
                <w:rFonts w:eastAsia="Times New Roman" w:cstheme="minorHAnsi"/>
                <w:lang w:val="hr-HR" w:eastAsia="bs-Latn-BA"/>
              </w:rPr>
              <w:t>4 </w:t>
            </w:r>
            <w:r w:rsidR="000E15E3" w:rsidRPr="00B96BF5">
              <w:rPr>
                <w:rFonts w:eastAsia="Times New Roman" w:cstheme="minorHAnsi"/>
                <w:lang w:val="hr-HR" w:eastAsia="bs-Latn-BA"/>
              </w:rPr>
              <w:t xml:space="preserve">puta dnevno ovisno o potrebi. </w:t>
            </w:r>
          </w:p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Kod starijih pacijenata i p</w:t>
            </w:r>
            <w:r w:rsidR="00E35638" w:rsidRPr="00B96BF5">
              <w:rPr>
                <w:rFonts w:eastAsia="Times New Roman" w:cstheme="minorHAnsi"/>
                <w:lang w:val="hr-HR" w:eastAsia="bs-Latn-BA"/>
              </w:rPr>
              <w:t>a</w:t>
            </w:r>
            <w:r w:rsidR="0029722D">
              <w:rPr>
                <w:rFonts w:eastAsia="Times New Roman" w:cstheme="minorHAnsi"/>
                <w:lang w:val="hr-HR" w:eastAsia="bs-Latn-BA"/>
              </w:rPr>
              <w:t>cijenata sa lošijim CF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S  smanjite dozu na 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0.25 mg 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do 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0.5 mg </w:t>
            </w:r>
            <w:r w:rsidRPr="00B96BF5">
              <w:rPr>
                <w:rFonts w:eastAsia="Times New Roman" w:cstheme="minorHAnsi"/>
                <w:lang w:val="hr-HR" w:eastAsia="bs-Latn-BA"/>
              </w:rPr>
              <w:t>(maks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imum 2 mg </w:t>
            </w:r>
            <w:r w:rsidRPr="00B96BF5">
              <w:rPr>
                <w:rFonts w:eastAsia="Times New Roman" w:cstheme="minorHAnsi"/>
                <w:lang w:val="hr-HR" w:eastAsia="bs-Latn-BA"/>
              </w:rPr>
              <w:t>u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24 </w:t>
            </w:r>
            <w:r w:rsidRPr="00B96BF5">
              <w:rPr>
                <w:rFonts w:eastAsia="Times New Roman" w:cstheme="minorHAnsi"/>
                <w:lang w:val="hr-HR" w:eastAsia="bs-Latn-BA"/>
              </w:rPr>
              <w:t>sata</w:t>
            </w:r>
            <w:r w:rsidRPr="00A617F2">
              <w:rPr>
                <w:rFonts w:eastAsia="Times New Roman" w:cstheme="minorHAnsi"/>
                <w:lang w:val="hr-HR" w:eastAsia="bs-Latn-BA"/>
              </w:rPr>
              <w:t>)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>Oral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ne tablete mogu se koristiti </w:t>
            </w:r>
            <w:r w:rsidRPr="00A617F2">
              <w:rPr>
                <w:rFonts w:eastAsia="Times New Roman" w:cstheme="minorHAnsi"/>
                <w:lang w:val="hr-HR" w:eastAsia="bs-Latn-BA"/>
              </w:rPr>
              <w:t>subling</w:t>
            </w:r>
            <w:r w:rsidRPr="00B96BF5">
              <w:rPr>
                <w:rFonts w:eastAsia="Times New Roman" w:cstheme="minorHAnsi"/>
                <w:lang w:val="hr-HR" w:eastAsia="bs-Latn-BA"/>
              </w:rPr>
              <w:t>valno (off-label</w:t>
            </w:r>
            <w:r w:rsidRPr="00A617F2">
              <w:rPr>
                <w:rFonts w:eastAsia="Times New Roman" w:cstheme="minorHAnsi"/>
                <w:lang w:val="hr-HR" w:eastAsia="bs-Latn-BA"/>
              </w:rPr>
              <w:t>)</w:t>
            </w:r>
          </w:p>
        </w:tc>
      </w:tr>
      <w:tr w:rsidR="000E15E3" w:rsidRPr="00B96BF5" w:rsidTr="00DA5EAA">
        <w:tc>
          <w:tcPr>
            <w:tcW w:w="4644" w:type="dxa"/>
          </w:tcPr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>Anksioznost ili agitacija kod pacijenta koji nije sposoban progutati lijek</w:t>
            </w:r>
            <w:r w:rsidRPr="00A617F2">
              <w:rPr>
                <w:rFonts w:eastAsia="Times New Roman" w:cstheme="minorHAnsi"/>
                <w:lang w:val="hr-HR" w:eastAsia="bs-Latn-BA"/>
              </w:rPr>
              <w:t>: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 xml:space="preserve">midazolam </w:t>
            </w:r>
            <w:r w:rsidRPr="00B96BF5">
              <w:rPr>
                <w:rFonts w:eastAsia="Times New Roman" w:cstheme="minorHAnsi"/>
                <w:lang w:val="hr-HR" w:eastAsia="bs-Latn-BA"/>
              </w:rPr>
              <w:t>ampule</w:t>
            </w:r>
          </w:p>
        </w:tc>
        <w:tc>
          <w:tcPr>
            <w:tcW w:w="4644" w:type="dxa"/>
          </w:tcPr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 xml:space="preserve">Midazolam 2.5 mg </w:t>
            </w:r>
            <w:r w:rsidRPr="00B96BF5">
              <w:rPr>
                <w:rFonts w:eastAsia="Times New Roman" w:cstheme="minorHAnsi"/>
                <w:lang w:val="hr-HR" w:eastAsia="bs-Latn-BA"/>
              </w:rPr>
              <w:t>do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5 mg sub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kutano svaka 2 do 4 sata ovisno o potrebi. </w:t>
            </w:r>
          </w:p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 xml:space="preserve">Ako postoji potreba za više od dvije doze dnevno, može se administrirati lijek preko subkutane infuzije sa početnom dozom od 10 mg midazolama unutar 24h. </w:t>
            </w:r>
          </w:p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lastRenderedPageBreak/>
              <w:t xml:space="preserve">Reducirajte dozu na 5 mg unutar 24h kod pacijenata kod kojih je procijenjena glomerularna filtracija manja od 30 ml/min. </w:t>
            </w:r>
          </w:p>
          <w:p w:rsidR="00A617F2" w:rsidRPr="00A617F2" w:rsidRDefault="00A617F2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</w:p>
        </w:tc>
      </w:tr>
      <w:tr w:rsidR="000E15E3" w:rsidRPr="00B96BF5" w:rsidTr="00DA5EAA">
        <w:tc>
          <w:tcPr>
            <w:tcW w:w="4644" w:type="dxa"/>
          </w:tcPr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lastRenderedPageBreak/>
              <w:t>Delirij kod pacijenta koji je sposoban progutati lijek</w:t>
            </w:r>
            <w:r w:rsidRPr="00A617F2">
              <w:rPr>
                <w:rFonts w:eastAsia="Times New Roman" w:cstheme="minorHAnsi"/>
                <w:lang w:val="hr-HR" w:eastAsia="bs-Latn-BA"/>
              </w:rPr>
              <w:t>: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 xml:space="preserve">haloperidol </w:t>
            </w:r>
            <w:r w:rsidRPr="00B96BF5">
              <w:rPr>
                <w:rFonts w:eastAsia="Times New Roman" w:cstheme="minorHAnsi"/>
                <w:lang w:val="hr-HR" w:eastAsia="bs-Latn-BA"/>
              </w:rPr>
              <w:t>tablete</w:t>
            </w:r>
          </w:p>
        </w:tc>
        <w:tc>
          <w:tcPr>
            <w:tcW w:w="4644" w:type="dxa"/>
          </w:tcPr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A617F2">
              <w:rPr>
                <w:rFonts w:eastAsia="Times New Roman" w:cstheme="minorHAnsi"/>
                <w:lang w:val="hr-HR" w:eastAsia="bs-Latn-BA"/>
              </w:rPr>
              <w:t xml:space="preserve">Haloperidol 0.5 mg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>do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1 mg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 xml:space="preserve">početna doza i potom svaka 2 sata ovisno o potrebi. Povećavajte dozu dodajući po </w:t>
            </w:r>
            <w:r w:rsidRPr="00A617F2">
              <w:rPr>
                <w:rFonts w:eastAsia="Times New Roman" w:cstheme="minorHAnsi"/>
                <w:lang w:val="hr-HR" w:eastAsia="bs-Latn-BA"/>
              </w:rPr>
              <w:t>0.5</w:t>
            </w:r>
            <w:r w:rsidRPr="00A617F2">
              <w:rPr>
                <w:rFonts w:eastAsia="Times New Roman" w:cstheme="minorHAnsi"/>
                <w:lang w:val="hr-HR" w:eastAsia="bs-Latn-BA"/>
              </w:rPr>
              <w:noBreakHyphen/>
              <w:t xml:space="preserve">mg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>do 1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mg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>ovisno o potrebi</w:t>
            </w:r>
            <w:r w:rsidR="00E35638">
              <w:rPr>
                <w:rFonts w:eastAsia="Times New Roman" w:cstheme="minorHAnsi"/>
                <w:lang w:val="hr-HR" w:eastAsia="bs-Latn-BA"/>
              </w:rPr>
              <w:t xml:space="preserve">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 xml:space="preserve">. </w:t>
            </w:r>
            <w:r w:rsidRPr="00A617F2">
              <w:rPr>
                <w:rFonts w:eastAsia="Times New Roman" w:cstheme="minorHAnsi"/>
                <w:lang w:val="hr-HR" w:eastAsia="bs-Latn-BA"/>
              </w:rPr>
              <w:t>(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>Maksimum 10 mg unutar 24 sata, 5 mg unutar 24 sata za starije pacijente.</w:t>
            </w:r>
            <w:r w:rsidRPr="00A617F2">
              <w:rPr>
                <w:rFonts w:eastAsia="Times New Roman" w:cstheme="minorHAnsi"/>
                <w:lang w:val="hr-HR" w:eastAsia="bs-Latn-BA"/>
              </w:rPr>
              <w:t>)</w:t>
            </w:r>
          </w:p>
          <w:p w:rsidR="000E15E3" w:rsidRPr="00A617F2" w:rsidRDefault="00B96BF5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 xml:space="preserve">Ista doza haloperidola može se aplicirati subkutano ako za tim postoji potreba ili putem subkutane infuzije od 2.5 do 10 mg unutar 24h. </w:t>
            </w:r>
          </w:p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Razmotrite upotrebu više početne doze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 xml:space="preserve"> </w:t>
            </w:r>
            <w:r w:rsidRPr="00B96BF5">
              <w:rPr>
                <w:rFonts w:eastAsia="Times New Roman" w:cstheme="minorHAnsi"/>
                <w:lang w:val="hr-HR" w:eastAsia="bs-Latn-BA"/>
              </w:rPr>
              <w:t>(1.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5 mg 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do 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3 mg) 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kod pacineta koji su u ozbiljnom distresu ili </w:t>
            </w:r>
            <w:r w:rsidR="00B96BF5" w:rsidRPr="00B96BF5">
              <w:rPr>
                <w:rFonts w:eastAsia="Times New Roman" w:cstheme="minorHAnsi"/>
                <w:lang w:val="hr-HR" w:eastAsia="bs-Latn-BA"/>
              </w:rPr>
              <w:t xml:space="preserve">predstavljaju neposrednu opasnost za sebe ili druge. </w:t>
            </w:r>
          </w:p>
          <w:p w:rsidR="00A617F2" w:rsidRPr="00A617F2" w:rsidRDefault="00B96BF5" w:rsidP="00B96BF5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Razmotrite potrebu za dodavanjem benzodijazepina kao</w:t>
            </w:r>
            <w:r w:rsidR="0029722D">
              <w:rPr>
                <w:rFonts w:eastAsia="Times New Roman" w:cstheme="minorHAnsi"/>
                <w:lang w:val="hr-HR" w:eastAsia="bs-Latn-BA"/>
              </w:rPr>
              <w:t xml:space="preserve"> što su lorazepam ili midazolam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 u slučaju perzistiranja agitacije  (vidjeti dozu u prethodnim dijelovima tabele).</w:t>
            </w:r>
          </w:p>
        </w:tc>
      </w:tr>
      <w:tr w:rsidR="000E15E3" w:rsidRPr="00B96BF5" w:rsidTr="00DA5EAA">
        <w:tc>
          <w:tcPr>
            <w:tcW w:w="4644" w:type="dxa"/>
          </w:tcPr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b/>
                <w:bCs/>
                <w:lang w:val="hr-HR" w:eastAsia="bs-Latn-BA"/>
              </w:rPr>
              <w:t>Delirij kod pacijenta koji nije sposoban progutati lijek</w:t>
            </w:r>
            <w:r w:rsidRPr="00A617F2">
              <w:rPr>
                <w:rFonts w:eastAsia="Times New Roman" w:cstheme="minorHAnsi"/>
                <w:lang w:val="hr-HR" w:eastAsia="bs-Latn-BA"/>
              </w:rPr>
              <w:t>: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levomepromazin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</w:t>
            </w:r>
            <w:r w:rsidRPr="00B96BF5">
              <w:rPr>
                <w:rFonts w:eastAsia="Times New Roman" w:cstheme="minorHAnsi"/>
                <w:lang w:val="hr-HR" w:eastAsia="bs-Latn-BA"/>
              </w:rPr>
              <w:t>ampule</w:t>
            </w:r>
          </w:p>
        </w:tc>
        <w:tc>
          <w:tcPr>
            <w:tcW w:w="4644" w:type="dxa"/>
          </w:tcPr>
          <w:p w:rsidR="000E15E3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Levomepromazin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12.5 mg </w:t>
            </w:r>
            <w:r w:rsidRPr="00B96BF5">
              <w:rPr>
                <w:rFonts w:eastAsia="Times New Roman" w:cstheme="minorHAnsi"/>
                <w:lang w:val="hr-HR" w:eastAsia="bs-Latn-BA"/>
              </w:rPr>
              <w:t>do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 25 mg sub</w:t>
            </w:r>
            <w:r w:rsidRPr="00B96BF5">
              <w:rPr>
                <w:rFonts w:eastAsia="Times New Roman" w:cstheme="minorHAnsi"/>
                <w:lang w:val="hr-HR" w:eastAsia="bs-Latn-BA"/>
              </w:rPr>
              <w:t xml:space="preserve">kutano kao početna doza, a potom svakog sata ovisno o potrebi. Kod starijih bolesnika koristite dozu od </w:t>
            </w:r>
            <w:r w:rsidRPr="00A617F2">
              <w:rPr>
                <w:rFonts w:eastAsia="Times New Roman" w:cstheme="minorHAnsi"/>
                <w:lang w:val="hr-HR" w:eastAsia="bs-Latn-BA"/>
              </w:rPr>
              <w:t xml:space="preserve">6.25 mg </w:t>
            </w:r>
            <w:r w:rsidRPr="00B96BF5">
              <w:rPr>
                <w:rFonts w:eastAsia="Times New Roman" w:cstheme="minorHAnsi"/>
                <w:lang w:val="hr-HR" w:eastAsia="bs-Latn-BA"/>
              </w:rPr>
              <w:t>do</w:t>
            </w:r>
            <w:r w:rsidRPr="00A617F2">
              <w:rPr>
                <w:rFonts w:eastAsia="Times New Roman" w:cstheme="minorHAnsi"/>
                <w:lang w:val="hr-HR" w:eastAsia="bs-Latn-BA"/>
              </w:rPr>
              <w:t>12.5 mg)</w:t>
            </w:r>
          </w:p>
          <w:p w:rsidR="000E15E3" w:rsidRPr="00B96BF5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 xml:space="preserve">Održavajte učinak sa subkutanom infuzijom od 50 do 100mg unutar 24h. Povišenje doze ovisno od odgovora. Doze više od 100 mg unutar 24h treba davati pod nadzorom specijaliste. </w:t>
            </w:r>
          </w:p>
          <w:p w:rsidR="00A617F2" w:rsidRPr="00A617F2" w:rsidRDefault="000E15E3" w:rsidP="00DA5EAA">
            <w:pPr>
              <w:spacing w:after="150" w:line="301" w:lineRule="atLeast"/>
              <w:rPr>
                <w:rFonts w:eastAsia="Times New Roman" w:cstheme="minorHAnsi"/>
                <w:lang w:val="hr-HR" w:eastAsia="bs-Latn-BA"/>
              </w:rPr>
            </w:pPr>
            <w:r w:rsidRPr="00B96BF5">
              <w:rPr>
                <w:rFonts w:eastAsia="Times New Roman" w:cstheme="minorHAnsi"/>
                <w:lang w:val="hr-HR" w:eastAsia="bs-Latn-BA"/>
              </w:rPr>
              <w:t>Ako je pacijent uznemiren razmotrite terapiju midazolamom ili midazolamom u kombinaciji sa levomepromazinom (vidjeti dozu u prethodnim dijelovima tabele).</w:t>
            </w:r>
          </w:p>
        </w:tc>
      </w:tr>
    </w:tbl>
    <w:p w:rsidR="00C307B0" w:rsidRPr="00B96BF5" w:rsidRDefault="00C307B0" w:rsidP="00077EBE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</w:p>
    <w:p w:rsidR="00A617F2" w:rsidRPr="00B96BF5" w:rsidRDefault="00A617F2" w:rsidP="00A617F2">
      <w:pPr>
        <w:shd w:val="clear" w:color="auto" w:fill="FAFAFB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</w:p>
    <w:p w:rsidR="00A617F2" w:rsidRPr="00A617F2" w:rsidRDefault="00A617F2" w:rsidP="00101732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t>Napomena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: 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U trenutku objavljivanja ovih vodilja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(April 2020), midazolam 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i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 levomepromazin</w:t>
      </w:r>
      <w:r w:rsidR="00E35638">
        <w:rPr>
          <w:rFonts w:eastAsia="Times New Roman" w:cstheme="minorHAnsi"/>
          <w:color w:val="0E0E0E"/>
          <w:lang w:val="hr-HR" w:eastAsia="bs-Latn-BA"/>
        </w:rPr>
        <w:t xml:space="preserve"> 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nisu imale marketinšku autorizaciju za ovu indikaciju i način primjene,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 (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vidjeti </w:t>
      </w:r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hyperlink r:id="rId12" w:tgtFrame="_top" w:history="1">
        <w:r w:rsidRPr="00B96BF5">
          <w:rPr>
            <w:rFonts w:eastAsia="Times New Roman" w:cstheme="minorHAnsi"/>
            <w:color w:val="005EA5"/>
            <w:u w:val="single"/>
            <w:lang w:val="hr-HR" w:eastAsia="bs-Latn-BA"/>
          </w:rPr>
          <w:t>General Medical Council's guidance on prescribing unlicensed medicines</w:t>
        </w:r>
      </w:hyperlink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r w:rsidRPr="00B96BF5">
        <w:rPr>
          <w:rFonts w:eastAsia="Times New Roman" w:cstheme="minorHAnsi"/>
          <w:color w:val="0E0E0E"/>
          <w:lang w:val="hr-HR" w:eastAsia="bs-Latn-BA"/>
        </w:rPr>
        <w:t>za dodatne informacije</w:t>
      </w:r>
      <w:r w:rsidRPr="00A617F2">
        <w:rPr>
          <w:rFonts w:eastAsia="Times New Roman" w:cstheme="minorHAnsi"/>
          <w:color w:val="0E0E0E"/>
          <w:lang w:val="hr-HR" w:eastAsia="bs-Latn-BA"/>
        </w:rPr>
        <w:t>).</w:t>
      </w:r>
    </w:p>
    <w:p w:rsidR="00A617F2" w:rsidRPr="00A617F2" w:rsidRDefault="00A617F2" w:rsidP="00101732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color w:val="0E0E0E"/>
          <w:lang w:val="hr-HR" w:eastAsia="bs-Latn-BA"/>
        </w:rPr>
        <w:t>Vidjeti</w:t>
      </w:r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hyperlink r:id="rId13" w:tgtFrame="_top" w:history="1">
        <w:r w:rsidRPr="00B96BF5">
          <w:rPr>
            <w:rFonts w:eastAsia="Times New Roman" w:cstheme="minorHAnsi"/>
            <w:color w:val="005EA5"/>
            <w:u w:val="single"/>
            <w:lang w:val="hr-HR" w:eastAsia="bs-Latn-BA"/>
          </w:rPr>
          <w:t>BNF</w:t>
        </w:r>
      </w:hyperlink>
      <w:r w:rsidRPr="00A617F2">
        <w:rPr>
          <w:rFonts w:eastAsia="Times New Roman" w:cstheme="minorHAnsi"/>
          <w:color w:val="0E0E0E"/>
          <w:lang w:val="hr-HR" w:eastAsia="bs-Latn-BA"/>
        </w:rPr>
        <w:t> and </w:t>
      </w:r>
      <w:hyperlink r:id="rId14" w:tgtFrame="_top" w:history="1">
        <w:r w:rsidRPr="00B96BF5">
          <w:rPr>
            <w:rFonts w:eastAsia="Times New Roman" w:cstheme="minorHAnsi"/>
            <w:color w:val="005EA5"/>
            <w:u w:val="single"/>
            <w:lang w:val="hr-HR" w:eastAsia="bs-Latn-BA"/>
          </w:rPr>
          <w:t>MHRA advice</w:t>
        </w:r>
      </w:hyperlink>
      <w:r w:rsidRPr="00A617F2">
        <w:rPr>
          <w:rFonts w:eastAsia="Times New Roman" w:cstheme="minorHAnsi"/>
          <w:color w:val="0E0E0E"/>
          <w:lang w:val="hr-HR" w:eastAsia="bs-Latn-BA"/>
        </w:rPr>
        <w:t> </w:t>
      </w:r>
      <w:r w:rsidRPr="00B96BF5">
        <w:rPr>
          <w:rFonts w:eastAsia="Times New Roman" w:cstheme="minorHAnsi"/>
          <w:color w:val="0E0E0E"/>
          <w:lang w:val="hr-HR" w:eastAsia="bs-Latn-BA"/>
        </w:rPr>
        <w:t xml:space="preserve">za preporučenu upotrebu i doziranje kod specifičnih populacija. </w:t>
      </w:r>
      <w:r w:rsidRPr="00A617F2">
        <w:rPr>
          <w:rFonts w:eastAsia="Times New Roman" w:cstheme="minorHAnsi"/>
          <w:color w:val="0E0E0E"/>
          <w:lang w:val="hr-HR" w:eastAsia="bs-Latn-BA"/>
        </w:rPr>
        <w:t xml:space="preserve"> populations.</w:t>
      </w:r>
    </w:p>
    <w:p w:rsidR="00A617F2" w:rsidRPr="00A617F2" w:rsidRDefault="00A617F2" w:rsidP="00101732">
      <w:pPr>
        <w:shd w:val="clear" w:color="auto" w:fill="FFFFFF" w:themeFill="background1"/>
        <w:spacing w:line="240" w:lineRule="auto"/>
        <w:rPr>
          <w:rFonts w:eastAsia="Times New Roman" w:cstheme="minorHAnsi"/>
          <w:color w:val="0E0E0E"/>
          <w:lang w:val="hr-HR" w:eastAsia="bs-Latn-BA"/>
        </w:rPr>
      </w:pPr>
      <w:r w:rsidRPr="00B96BF5">
        <w:rPr>
          <w:rFonts w:eastAsia="Times New Roman" w:cstheme="minorHAnsi"/>
          <w:b/>
          <w:bCs/>
          <w:color w:val="0E0E0E"/>
          <w:lang w:val="hr-HR" w:eastAsia="bs-Latn-BA"/>
        </w:rPr>
        <w:t>[izmijenjeno 22 April 2020]</w:t>
      </w:r>
    </w:p>
    <w:p w:rsidR="00DA5EAA" w:rsidRPr="00B96BF5" w:rsidRDefault="00DA5EAA" w:rsidP="00101732">
      <w:pPr>
        <w:shd w:val="clear" w:color="auto" w:fill="FFFFFF" w:themeFill="background1"/>
        <w:rPr>
          <w:rFonts w:cstheme="minorHAnsi"/>
          <w:lang w:val="hr-HR"/>
        </w:rPr>
      </w:pPr>
      <w:r w:rsidRPr="00B96BF5">
        <w:rPr>
          <w:rFonts w:cstheme="minorHAnsi"/>
          <w:lang w:val="hr-HR"/>
        </w:rPr>
        <w:t>Prevela Prof dr Alma Džubur Kulenović</w:t>
      </w:r>
    </w:p>
    <w:p w:rsidR="00DA5EAA" w:rsidRDefault="00DA5EAA" w:rsidP="00A617F2">
      <w:pPr>
        <w:rPr>
          <w:rFonts w:cstheme="minorHAnsi"/>
          <w:b/>
          <w:lang w:val="hr-HR"/>
        </w:rPr>
      </w:pPr>
    </w:p>
    <w:p w:rsidR="00A617F2" w:rsidRPr="00DA5EAA" w:rsidRDefault="00DA5EAA" w:rsidP="00A617F2">
      <w:pPr>
        <w:rPr>
          <w:rFonts w:cstheme="minorHAnsi"/>
          <w:b/>
          <w:lang w:val="hr-HR"/>
        </w:rPr>
      </w:pPr>
      <w:r w:rsidRPr="00DA5EAA">
        <w:rPr>
          <w:rFonts w:cstheme="minorHAnsi"/>
          <w:b/>
          <w:lang w:val="hr-HR"/>
        </w:rPr>
        <w:lastRenderedPageBreak/>
        <w:t>Dodatna literatura:</w:t>
      </w:r>
    </w:p>
    <w:p w:rsidR="00DA5EAA" w:rsidRPr="00DA5EAA" w:rsidRDefault="00AD1A9E" w:rsidP="00DA5E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bs-Latn-BA"/>
        </w:rPr>
      </w:pPr>
      <w:hyperlink r:id="rId15" w:history="1">
        <w:r w:rsidR="00DA5EAA" w:rsidRPr="00DA5EAA">
          <w:rPr>
            <w:rFonts w:eastAsia="Times New Roman" w:cs="Calibri"/>
            <w:sz w:val="24"/>
            <w:szCs w:val="24"/>
            <w:lang w:eastAsia="bs-Latn-BA"/>
          </w:rPr>
          <w:t>Michael Gottlieb</w:t>
        </w:r>
      </w:hyperlink>
      <w:r w:rsidR="00DA5EAA" w:rsidRPr="00DA5EAA">
        <w:rPr>
          <w:rFonts w:eastAsia="Times New Roman" w:cs="Calibri"/>
          <w:sz w:val="24"/>
          <w:szCs w:val="24"/>
          <w:lang w:eastAsia="bs-Latn-BA"/>
        </w:rPr>
        <w:t>, MD (EBEM Commentator)</w:t>
      </w:r>
      <w:r w:rsidR="00DA5EAA" w:rsidRPr="00DA5EAA">
        <w:rPr>
          <w:rFonts w:eastAsia="Times New Roman" w:cs="Calibri"/>
          <w:sz w:val="24"/>
          <w:szCs w:val="24"/>
          <w:shd w:val="clear" w:color="auto" w:fill="FFFFFF"/>
          <w:lang w:eastAsia="bs-Latn-BA"/>
        </w:rPr>
        <w:t>, </w:t>
      </w:r>
      <w:hyperlink r:id="rId16" w:history="1">
        <w:r w:rsidR="00DA5EAA" w:rsidRPr="00DA5EAA">
          <w:rPr>
            <w:rFonts w:eastAsia="Times New Roman" w:cs="Calibri"/>
            <w:sz w:val="24"/>
            <w:szCs w:val="24"/>
            <w:lang w:eastAsia="bs-Latn-BA"/>
          </w:rPr>
          <w:t>Jessen Schiebout</w:t>
        </w:r>
      </w:hyperlink>
      <w:r w:rsidR="00DA5EAA" w:rsidRPr="00DA5EAA">
        <w:rPr>
          <w:rFonts w:eastAsia="Times New Roman" w:cs="Calibri"/>
          <w:sz w:val="24"/>
          <w:szCs w:val="24"/>
          <w:lang w:eastAsia="bs-Latn-BA"/>
        </w:rPr>
        <w:t>, MD (EBEM Commentator)</w:t>
      </w:r>
    </w:p>
    <w:p w:rsidR="00DA5EAA" w:rsidRPr="00DA5EAA" w:rsidRDefault="00DA5EAA" w:rsidP="00DA5EAA">
      <w:pPr>
        <w:shd w:val="clear" w:color="auto" w:fill="FFFFFF"/>
        <w:spacing w:after="0" w:line="240" w:lineRule="auto"/>
        <w:ind w:firstLine="708"/>
        <w:rPr>
          <w:rFonts w:eastAsia="Times New Roman" w:cs="Calibri"/>
          <w:sz w:val="24"/>
          <w:szCs w:val="24"/>
          <w:lang w:eastAsia="bs-Latn-BA"/>
        </w:rPr>
      </w:pPr>
      <w:r w:rsidRPr="00DA5EAA">
        <w:rPr>
          <w:rFonts w:eastAsia="Times New Roman" w:cs="Calibri"/>
          <w:sz w:val="24"/>
          <w:szCs w:val="24"/>
          <w:lang w:eastAsia="bs-Latn-BA"/>
        </w:rPr>
        <w:t xml:space="preserve">Department of Emergency Medicine, Rush University Medical Center, Chicago, IL: </w:t>
      </w:r>
    </w:p>
    <w:p w:rsidR="00DA5EAA" w:rsidRPr="00DA5EAA" w:rsidRDefault="00DA5EAA" w:rsidP="00DA5EAA">
      <w:pPr>
        <w:pStyle w:val="Heading1"/>
        <w:shd w:val="clear" w:color="auto" w:fill="FFFFFF"/>
        <w:spacing w:before="0" w:beforeAutospacing="0" w:after="188" w:afterAutospacing="0"/>
        <w:ind w:left="708"/>
        <w:rPr>
          <w:rFonts w:ascii="Calibri" w:hAnsi="Calibri" w:cs="Calibri"/>
          <w:b w:val="0"/>
          <w:sz w:val="24"/>
          <w:szCs w:val="24"/>
        </w:rPr>
      </w:pPr>
      <w:r w:rsidRPr="00DA5EAA">
        <w:rPr>
          <w:rFonts w:ascii="Calibri" w:hAnsi="Calibri" w:cs="Calibri"/>
          <w:b w:val="0"/>
          <w:bCs w:val="0"/>
          <w:sz w:val="24"/>
          <w:szCs w:val="24"/>
        </w:rPr>
        <w:t xml:space="preserve">What Is the Efficacy of Droperidol for the Management of Acute Psychosis-Induced Agitation?, Annals of Emergency Medicine, </w:t>
      </w:r>
      <w:hyperlink r:id="rId17" w:history="1">
        <w:r w:rsidRPr="00DA5EAA">
          <w:rPr>
            <w:rStyle w:val="Hyperlink"/>
            <w:rFonts w:ascii="Calibri" w:hAnsi="Calibri" w:cs="Calibri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January 2018</w:t>
        </w:r>
      </w:hyperlink>
      <w:r w:rsidRPr="00DA5EAA">
        <w:rPr>
          <w:rFonts w:ascii="Calibri" w:hAnsi="Calibri" w:cs="Calibri"/>
          <w:b w:val="0"/>
          <w:sz w:val="24"/>
          <w:szCs w:val="24"/>
          <w:shd w:val="clear" w:color="auto" w:fill="FFFFFF"/>
        </w:rPr>
        <w:t>Volume 71, Issue 1, Pages 141–143,</w:t>
      </w:r>
      <w:r w:rsidRPr="00DA5EAA">
        <w:rPr>
          <w:rFonts w:ascii="Calibri" w:hAnsi="Calibri" w:cs="Calibri"/>
          <w:b w:val="0"/>
          <w:sz w:val="24"/>
          <w:szCs w:val="24"/>
          <w:shd w:val="clear" w:color="auto" w:fill="F2F5F7"/>
        </w:rPr>
        <w:t xml:space="preserve"> </w:t>
      </w:r>
      <w:r w:rsidRPr="00DA5EAA">
        <w:rPr>
          <w:rFonts w:ascii="Calibri" w:hAnsi="Calibri" w:cs="Calibri"/>
          <w:b w:val="0"/>
          <w:sz w:val="24"/>
          <w:szCs w:val="24"/>
          <w:shd w:val="clear" w:color="auto" w:fill="FFFFFF"/>
        </w:rPr>
        <w:t>DOI: </w:t>
      </w:r>
      <w:hyperlink r:id="rId18" w:history="1">
        <w:r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  <w:shd w:val="clear" w:color="auto" w:fill="FFFFFF"/>
          </w:rPr>
          <w:t>https://doi.org/10.1016/j.annemergmed.2017.05.005</w:t>
        </w:r>
      </w:hyperlink>
    </w:p>
    <w:p w:rsidR="00DA5EAA" w:rsidRPr="00DA5EAA" w:rsidRDefault="00DA5EAA" w:rsidP="00DA5EAA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88" w:afterAutospacing="0"/>
        <w:rPr>
          <w:rFonts w:ascii="Calibri" w:hAnsi="Calibri" w:cs="Calibri"/>
          <w:b w:val="0"/>
          <w:sz w:val="24"/>
          <w:szCs w:val="24"/>
        </w:rPr>
      </w:pPr>
      <w:r w:rsidRPr="00DA5EAA">
        <w:rPr>
          <w:rFonts w:ascii="Calibri" w:hAnsi="Calibri" w:cs="Calibri"/>
          <w:b w:val="0"/>
          <w:sz w:val="24"/>
          <w:szCs w:val="24"/>
        </w:rPr>
        <w:t>Klein LR et al. Intramuscular midazolam, olanzapine, ziprasidone, or haloperidol for treating acute agitation in the emergency department. </w:t>
      </w:r>
      <w:r w:rsidRPr="00DA5EAA">
        <w:rPr>
          <w:rFonts w:ascii="Calibri" w:hAnsi="Calibri" w:cs="Calibri"/>
          <w:b w:val="0"/>
          <w:iCs/>
          <w:sz w:val="24"/>
          <w:szCs w:val="24"/>
        </w:rPr>
        <w:t>Ann Emerg Med</w:t>
      </w:r>
      <w:r w:rsidRPr="00DA5EAA">
        <w:rPr>
          <w:rFonts w:ascii="Calibri" w:hAnsi="Calibri" w:cs="Calibri"/>
          <w:b w:val="0"/>
          <w:sz w:val="24"/>
          <w:szCs w:val="24"/>
        </w:rPr>
        <w:t> 2018 Jun 6; [e-pub]. (</w:t>
      </w:r>
      <w:hyperlink r:id="rId19" w:tgtFrame="_blank" w:history="1">
        <w:r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https://doi.org/10.1016/j.annemergmed.2018.04.027</w:t>
        </w:r>
      </w:hyperlink>
      <w:r w:rsidRPr="00DA5EAA">
        <w:rPr>
          <w:rFonts w:ascii="Calibri" w:hAnsi="Calibri" w:cs="Calibri"/>
          <w:b w:val="0"/>
          <w:sz w:val="24"/>
          <w:szCs w:val="24"/>
        </w:rPr>
        <w:t>)</w:t>
      </w:r>
    </w:p>
    <w:p w:rsidR="00DA5EAA" w:rsidRPr="00DA5EAA" w:rsidRDefault="00AD1A9E" w:rsidP="00DA5EAA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88" w:afterAutospacing="0"/>
        <w:rPr>
          <w:rStyle w:val="byline-reviewed-citations"/>
          <w:rFonts w:ascii="Calibri" w:eastAsiaTheme="majorEastAsia" w:hAnsi="Calibri" w:cs="Calibri"/>
          <w:b w:val="0"/>
          <w:sz w:val="24"/>
          <w:szCs w:val="24"/>
        </w:rPr>
      </w:pPr>
      <w:hyperlink r:id="rId20" w:history="1">
        <w:r w:rsidR="00DA5EAA" w:rsidRPr="00DA5EAA">
          <w:rPr>
            <w:rStyle w:val="Hyperlink"/>
            <w:rFonts w:ascii="Calibri" w:hAnsi="Calibri" w:cs="Calibri"/>
            <w:b w:val="0"/>
            <w:iCs/>
            <w:color w:val="auto"/>
            <w:sz w:val="24"/>
            <w:szCs w:val="24"/>
            <w:u w:val="none"/>
          </w:rPr>
          <w:t>Daniel J. Pallin, MD, MPH</w:t>
        </w:r>
      </w:hyperlink>
      <w:r w:rsidR="00DA5EAA" w:rsidRPr="00DA5EAA">
        <w:rPr>
          <w:rFonts w:ascii="Calibri" w:hAnsi="Calibri" w:cs="Calibri"/>
          <w:b w:val="0"/>
          <w:iCs/>
          <w:sz w:val="24"/>
          <w:szCs w:val="24"/>
        </w:rPr>
        <w:t> reviewing </w:t>
      </w:r>
      <w:r w:rsidR="00DA5EAA" w:rsidRPr="00DA5EAA">
        <w:rPr>
          <w:rStyle w:val="byline-reviewed-citations"/>
          <w:rFonts w:ascii="Calibri" w:eastAsiaTheme="majorEastAsia" w:hAnsi="Calibri" w:cs="Calibri"/>
          <w:b w:val="0"/>
          <w:iCs/>
          <w:sz w:val="24"/>
          <w:szCs w:val="24"/>
        </w:rPr>
        <w:t xml:space="preserve">Klein LR et al.: </w:t>
      </w:r>
      <w:r w:rsidR="00DA5EAA" w:rsidRPr="00DA5EAA">
        <w:rPr>
          <w:rFonts w:ascii="Calibri" w:hAnsi="Calibri" w:cs="Calibri"/>
          <w:b w:val="0"/>
          <w:spacing w:val="9"/>
          <w:sz w:val="24"/>
          <w:szCs w:val="24"/>
        </w:rPr>
        <w:t>For Rapid Sedation of the Agitated Patient, Consider Midazolam</w:t>
      </w:r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, </w:t>
      </w:r>
      <w:r w:rsidR="00DA5EAA" w:rsidRPr="00DA5EAA">
        <w:rPr>
          <w:rStyle w:val="byline-source"/>
          <w:rFonts w:ascii="Calibri" w:hAnsi="Calibri" w:cs="Calibri"/>
          <w:b w:val="0"/>
          <w:iCs/>
          <w:sz w:val="24"/>
          <w:szCs w:val="24"/>
        </w:rPr>
        <w:t>Ann Emerg Med</w:t>
      </w:r>
      <w:r w:rsidR="00DA5EAA" w:rsidRPr="00DA5EAA">
        <w:rPr>
          <w:rStyle w:val="byline-reviewed-citations"/>
          <w:rFonts w:ascii="Calibri" w:eastAsiaTheme="majorEastAsia" w:hAnsi="Calibri" w:cs="Calibri"/>
          <w:b w:val="0"/>
          <w:iCs/>
          <w:sz w:val="24"/>
          <w:szCs w:val="24"/>
        </w:rPr>
        <w:t> 2018 Jun 6</w:t>
      </w:r>
    </w:p>
    <w:p w:rsidR="00DA5EAA" w:rsidRPr="00DA5EAA" w:rsidRDefault="00AD1A9E" w:rsidP="00DA5EAA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88" w:afterAutospacing="0"/>
        <w:rPr>
          <w:rFonts w:ascii="Calibri" w:hAnsi="Calibri" w:cs="Calibri"/>
          <w:b w:val="0"/>
          <w:sz w:val="24"/>
          <w:szCs w:val="24"/>
        </w:rPr>
      </w:pPr>
      <w:hyperlink r:id="rId21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Gregory Moore, MD, JD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, </w:t>
      </w:r>
      <w:hyperlink r:id="rId22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James A Pfaff, MD, FACEP, FAAEM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, Section Editor: </w:t>
      </w:r>
      <w:hyperlink r:id="rId23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Robert S Hockberger, MD, FACEP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, Deputy Editor:, </w:t>
      </w:r>
      <w:hyperlink r:id="rId24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Jonathan Grayzel, MD, FAAEM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, </w:t>
      </w:r>
      <w:hyperlink r:id="rId25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Contributor Disclosures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 All topics are updated as new evidence becomes available and our </w:t>
      </w:r>
      <w:hyperlink r:id="rId26" w:tgtFrame="_blank" w:history="1">
        <w:r w:rsidR="00DA5EAA" w:rsidRPr="00DA5EAA">
          <w:rPr>
            <w:rStyle w:val="Hyperlink"/>
            <w:rFonts w:ascii="Calibri" w:hAnsi="Calibri" w:cs="Calibri"/>
            <w:b w:val="0"/>
            <w:color w:val="auto"/>
            <w:sz w:val="24"/>
            <w:szCs w:val="24"/>
            <w:u w:val="none"/>
          </w:rPr>
          <w:t>peer review process</w:t>
        </w:r>
      </w:hyperlink>
      <w:r w:rsidR="00DA5EAA" w:rsidRPr="00DA5EAA">
        <w:rPr>
          <w:rFonts w:ascii="Calibri" w:hAnsi="Calibri" w:cs="Calibri"/>
          <w:b w:val="0"/>
          <w:sz w:val="24"/>
          <w:szCs w:val="24"/>
        </w:rPr>
        <w:t xml:space="preserve"> is complete., </w:t>
      </w:r>
      <w:r w:rsidR="00DA5EAA" w:rsidRPr="00DA5EAA">
        <w:rPr>
          <w:rStyle w:val="Emphasis1"/>
          <w:rFonts w:ascii="Calibri" w:hAnsi="Calibri" w:cs="Calibri"/>
          <w:b w:val="0"/>
          <w:sz w:val="24"/>
          <w:szCs w:val="24"/>
        </w:rPr>
        <w:t>Literature review current through:</w:t>
      </w:r>
      <w:r w:rsidR="00DA5EAA" w:rsidRPr="00DA5EAA">
        <w:rPr>
          <w:rFonts w:ascii="Calibri" w:hAnsi="Calibri" w:cs="Calibri"/>
          <w:b w:val="0"/>
          <w:sz w:val="24"/>
          <w:szCs w:val="24"/>
        </w:rPr>
        <w:t> Feb 2020. | </w:t>
      </w:r>
      <w:r w:rsidR="00DA5EAA" w:rsidRPr="00DA5EAA">
        <w:rPr>
          <w:rStyle w:val="Emphasis1"/>
          <w:rFonts w:ascii="Calibri" w:hAnsi="Calibri" w:cs="Calibri"/>
          <w:b w:val="0"/>
          <w:sz w:val="24"/>
          <w:szCs w:val="24"/>
        </w:rPr>
        <w:t>This topiic last updated:</w:t>
      </w:r>
      <w:r w:rsidR="00DA5EAA" w:rsidRPr="00DA5EAA">
        <w:rPr>
          <w:rFonts w:ascii="Calibri" w:hAnsi="Calibri" w:cs="Calibri"/>
          <w:b w:val="0"/>
          <w:sz w:val="24"/>
          <w:szCs w:val="24"/>
        </w:rPr>
        <w:t> Jan 30, 2020.: Assessment and emergency management of the acutely agitated or violent adult</w:t>
      </w:r>
    </w:p>
    <w:p w:rsidR="00DA5EAA" w:rsidRPr="00DA5EAA" w:rsidRDefault="00AD1A9E" w:rsidP="00DA5EAA">
      <w:pPr>
        <w:numPr>
          <w:ilvl w:val="0"/>
          <w:numId w:val="4"/>
        </w:numPr>
        <w:shd w:val="clear" w:color="auto" w:fill="FFFFFF"/>
        <w:rPr>
          <w:rFonts w:cs="Calibri"/>
          <w:bCs/>
          <w:sz w:val="24"/>
          <w:szCs w:val="24"/>
        </w:rPr>
      </w:pPr>
      <w:hyperlink r:id="rId27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Scott W Woods</w:t>
        </w:r>
      </w:hyperlink>
      <w:r w:rsidR="00DA5EAA" w:rsidRPr="00DA5EAA">
        <w:rPr>
          <w:rStyle w:val="author-sup-separator"/>
          <w:rFonts w:cs="Calibri"/>
          <w:sz w:val="24"/>
          <w:szCs w:val="24"/>
        </w:rPr>
        <w:t xml:space="preserve">: </w:t>
      </w:r>
      <w:r w:rsidR="00DA5EAA" w:rsidRPr="00DA5EAA">
        <w:rPr>
          <w:rFonts w:cs="Calibri"/>
          <w:sz w:val="24"/>
          <w:szCs w:val="24"/>
        </w:rPr>
        <w:t>Chlorpromazine Equivalent Doses for the Newer Atypical Antipsychotics, J Clin Psychiatry</w:t>
      </w:r>
      <w:r w:rsidR="00DA5EAA" w:rsidRPr="00DA5EAA">
        <w:rPr>
          <w:rStyle w:val="comma"/>
          <w:rFonts w:cs="Calibri"/>
          <w:sz w:val="24"/>
          <w:szCs w:val="24"/>
        </w:rPr>
        <w:t xml:space="preserve"> , </w:t>
      </w:r>
      <w:r w:rsidR="00DA5EAA" w:rsidRPr="00DA5EAA">
        <w:rPr>
          <w:rStyle w:val="volume-issue-pages"/>
          <w:rFonts w:cs="Calibri"/>
          <w:sz w:val="24"/>
          <w:szCs w:val="24"/>
        </w:rPr>
        <w:t>64 (6), 663-7</w:t>
      </w:r>
      <w:r w:rsidR="00DA5EAA" w:rsidRPr="00DA5EAA">
        <w:rPr>
          <w:rFonts w:cs="Calibri"/>
          <w:sz w:val="24"/>
          <w:szCs w:val="24"/>
        </w:rPr>
        <w:t xml:space="preserve">, </w:t>
      </w:r>
      <w:r w:rsidR="00DA5EAA" w:rsidRPr="00DA5EAA">
        <w:rPr>
          <w:rStyle w:val="publication-date"/>
          <w:rFonts w:cs="Calibri"/>
          <w:sz w:val="24"/>
          <w:szCs w:val="24"/>
          <w:shd w:val="clear" w:color="auto" w:fill="FFFFFF"/>
        </w:rPr>
        <w:t xml:space="preserve">Jun 2003, </w:t>
      </w:r>
      <w:r w:rsidR="00DA5EAA" w:rsidRPr="00DA5EAA">
        <w:rPr>
          <w:rStyle w:val="id-label"/>
          <w:rFonts w:cs="Calibri"/>
          <w:sz w:val="24"/>
          <w:szCs w:val="24"/>
        </w:rPr>
        <w:t>DOI: </w:t>
      </w:r>
      <w:hyperlink r:id="rId28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10.4088/jcp.v64n0607</w:t>
        </w:r>
      </w:hyperlink>
    </w:p>
    <w:p w:rsidR="00DA5EAA" w:rsidRPr="005976F5" w:rsidRDefault="00DA5EAA" w:rsidP="00DA5EAA">
      <w:pPr>
        <w:numPr>
          <w:ilvl w:val="0"/>
          <w:numId w:val="4"/>
        </w:numPr>
        <w:shd w:val="clear" w:color="auto" w:fill="FFFFFF"/>
        <w:rPr>
          <w:rFonts w:cs="Calibri"/>
          <w:bCs/>
          <w:sz w:val="24"/>
          <w:szCs w:val="24"/>
        </w:rPr>
      </w:pPr>
      <w:r w:rsidRPr="00DA5EAA">
        <w:rPr>
          <w:rFonts w:cs="Calibri"/>
          <w:sz w:val="24"/>
          <w:szCs w:val="24"/>
        </w:rPr>
        <w:t>D</w:t>
      </w:r>
      <w:hyperlink r:id="rId29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avid McD. Taylor</w:t>
        </w:r>
      </w:hyperlink>
      <w:r w:rsidRPr="00DA5EAA">
        <w:rPr>
          <w:rFonts w:cs="Calibri"/>
          <w:sz w:val="24"/>
          <w:szCs w:val="24"/>
        </w:rPr>
        <w:t>, MD, MPH</w:t>
      </w:r>
      <w:r w:rsidRPr="00DA5EAA">
        <w:rPr>
          <w:rFonts w:cs="Calibri"/>
          <w:sz w:val="24"/>
          <w:szCs w:val="24"/>
          <w:vertAlign w:val="superscript"/>
        </w:rPr>
        <w:t>a,,</w:t>
      </w:r>
      <w:r w:rsidRPr="00DA5EAA">
        <w:rPr>
          <w:rFonts w:hAnsi="Cambria Math" w:cs="Calibri"/>
          <w:sz w:val="24"/>
          <w:szCs w:val="24"/>
          <w:vertAlign w:val="superscript"/>
        </w:rPr>
        <w:t>∗</w:t>
      </w:r>
      <w:r w:rsidRPr="00DA5EAA">
        <w:rPr>
          <w:rFonts w:cs="Calibri"/>
          <w:sz w:val="24"/>
          <w:szCs w:val="24"/>
          <w:vertAlign w:val="superscript"/>
        </w:rPr>
        <w:t>,</w:t>
      </w:r>
      <w:hyperlink r:id="rId30" w:history="1"/>
      <w:hyperlink r:id="rId31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Celene Y.L. Yap</w:t>
        </w:r>
      </w:hyperlink>
      <w:r w:rsidRPr="00DA5EAA">
        <w:rPr>
          <w:rFonts w:cs="Calibri"/>
          <w:sz w:val="24"/>
          <w:szCs w:val="24"/>
        </w:rPr>
        <w:t>, MSc</w:t>
      </w:r>
      <w:r w:rsidRPr="00DA5EAA">
        <w:rPr>
          <w:rFonts w:cs="Calibri"/>
          <w:sz w:val="24"/>
          <w:szCs w:val="24"/>
          <w:vertAlign w:val="superscript"/>
        </w:rPr>
        <w:t>c</w:t>
      </w:r>
      <w:hyperlink r:id="rId32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Jonathan C. Knott</w:t>
        </w:r>
      </w:hyperlink>
      <w:r w:rsidRPr="00DA5EAA">
        <w:rPr>
          <w:rFonts w:cs="Calibri"/>
          <w:sz w:val="24"/>
          <w:szCs w:val="24"/>
        </w:rPr>
        <w:t>, MBBS, PhD</w:t>
      </w:r>
      <w:r w:rsidRPr="00DA5EAA">
        <w:rPr>
          <w:rFonts w:cs="Calibri"/>
          <w:sz w:val="24"/>
          <w:szCs w:val="24"/>
          <w:vertAlign w:val="superscript"/>
        </w:rPr>
        <w:t>d</w:t>
      </w:r>
      <w:r w:rsidRPr="00DA5EAA">
        <w:rPr>
          <w:rFonts w:cs="Calibri"/>
          <w:sz w:val="24"/>
          <w:szCs w:val="24"/>
        </w:rPr>
        <w:t xml:space="preserve">, </w:t>
      </w:r>
      <w:hyperlink r:id="rId33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Simone E. Taylor</w:t>
        </w:r>
      </w:hyperlink>
      <w:r w:rsidRPr="00DA5EAA">
        <w:rPr>
          <w:rFonts w:cs="Calibri"/>
          <w:sz w:val="24"/>
          <w:szCs w:val="24"/>
        </w:rPr>
        <w:t>, PharmD</w:t>
      </w:r>
      <w:r w:rsidRPr="00DA5EAA">
        <w:rPr>
          <w:rFonts w:cs="Calibri"/>
          <w:sz w:val="24"/>
          <w:szCs w:val="24"/>
          <w:vertAlign w:val="superscript"/>
        </w:rPr>
        <w:t>b</w:t>
      </w:r>
      <w:r w:rsidRPr="00DA5EAA">
        <w:rPr>
          <w:rFonts w:cs="Calibri"/>
          <w:sz w:val="24"/>
          <w:szCs w:val="24"/>
        </w:rPr>
        <w:t>,</w:t>
      </w:r>
      <w:hyperlink r:id="rId34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Georgina A. Phillips</w:t>
        </w:r>
      </w:hyperlink>
      <w:r w:rsidRPr="00DA5EAA">
        <w:rPr>
          <w:rFonts w:cs="Calibri"/>
          <w:sz w:val="24"/>
          <w:szCs w:val="24"/>
        </w:rPr>
        <w:t>, MBBS</w:t>
      </w:r>
      <w:r w:rsidRPr="00DA5EAA">
        <w:rPr>
          <w:rFonts w:cs="Calibri"/>
          <w:sz w:val="24"/>
          <w:szCs w:val="24"/>
          <w:vertAlign w:val="superscript"/>
        </w:rPr>
        <w:t>e</w:t>
      </w:r>
      <w:r w:rsidRPr="00DA5EAA">
        <w:rPr>
          <w:rFonts w:cs="Calibri"/>
          <w:sz w:val="24"/>
          <w:szCs w:val="24"/>
        </w:rPr>
        <w:t xml:space="preserve">, </w:t>
      </w:r>
      <w:hyperlink r:id="rId35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Jonathan Karro</w:t>
        </w:r>
      </w:hyperlink>
      <w:r w:rsidRPr="00DA5EAA">
        <w:rPr>
          <w:rFonts w:cs="Calibri"/>
          <w:sz w:val="24"/>
          <w:szCs w:val="24"/>
        </w:rPr>
        <w:t>, MBBS</w:t>
      </w:r>
      <w:r w:rsidRPr="00DA5EAA">
        <w:rPr>
          <w:rFonts w:cs="Calibri"/>
          <w:sz w:val="24"/>
          <w:szCs w:val="24"/>
          <w:vertAlign w:val="superscript"/>
        </w:rPr>
        <w:t>e</w:t>
      </w:r>
      <w:r w:rsidRPr="00DA5EAA">
        <w:rPr>
          <w:rFonts w:cs="Calibri"/>
          <w:sz w:val="24"/>
          <w:szCs w:val="24"/>
        </w:rPr>
        <w:t xml:space="preserve">, </w:t>
      </w:r>
      <w:hyperlink r:id="rId36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Esther W. Chan</w:t>
        </w:r>
      </w:hyperlink>
      <w:r w:rsidRPr="00DA5EAA">
        <w:rPr>
          <w:rFonts w:cs="Calibri"/>
          <w:sz w:val="24"/>
          <w:szCs w:val="24"/>
        </w:rPr>
        <w:t>, BPharm, PhD</w:t>
      </w:r>
      <w:r w:rsidRPr="00DA5EAA">
        <w:rPr>
          <w:rFonts w:cs="Calibri"/>
          <w:sz w:val="24"/>
          <w:szCs w:val="24"/>
          <w:vertAlign w:val="superscript"/>
        </w:rPr>
        <w:t xml:space="preserve">f </w:t>
      </w:r>
      <w:r w:rsidRPr="00DA5EAA">
        <w:rPr>
          <w:rFonts w:cs="Calibri"/>
          <w:sz w:val="24"/>
          <w:szCs w:val="24"/>
        </w:rPr>
        <w:t xml:space="preserve">, </w:t>
      </w:r>
      <w:hyperlink r:id="rId37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David C.M. Kong</w:t>
        </w:r>
      </w:hyperlink>
      <w:r w:rsidRPr="00DA5EAA">
        <w:rPr>
          <w:rFonts w:cs="Calibri"/>
          <w:sz w:val="24"/>
          <w:szCs w:val="24"/>
        </w:rPr>
        <w:t>, BPharm, PhD</w:t>
      </w:r>
      <w:r w:rsidRPr="00DA5EAA">
        <w:rPr>
          <w:rFonts w:cs="Calibri"/>
          <w:sz w:val="24"/>
          <w:szCs w:val="24"/>
          <w:vertAlign w:val="superscript"/>
        </w:rPr>
        <w:t>c</w:t>
      </w:r>
      <w:r w:rsidRPr="00DA5EAA">
        <w:rPr>
          <w:rFonts w:cs="Calibri"/>
          <w:sz w:val="24"/>
          <w:szCs w:val="24"/>
        </w:rPr>
        <w:t xml:space="preserve">, </w:t>
      </w:r>
      <w:hyperlink r:id="rId38" w:history="1">
        <w:r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David J. Castle</w:t>
        </w:r>
      </w:hyperlink>
      <w:r w:rsidRPr="00DA5EAA">
        <w:rPr>
          <w:rFonts w:cs="Calibri"/>
          <w:sz w:val="24"/>
          <w:szCs w:val="24"/>
        </w:rPr>
        <w:t>, MD</w:t>
      </w:r>
      <w:r w:rsidRPr="00DA5EAA">
        <w:rPr>
          <w:rFonts w:cs="Calibri"/>
          <w:sz w:val="24"/>
          <w:szCs w:val="24"/>
          <w:vertAlign w:val="superscript"/>
        </w:rPr>
        <w:t>g</w:t>
      </w:r>
      <w:r w:rsidRPr="00DA5EAA">
        <w:rPr>
          <w:rFonts w:cs="Calibri"/>
          <w:sz w:val="24"/>
          <w:szCs w:val="24"/>
        </w:rPr>
        <w:t xml:space="preserve">: </w:t>
      </w:r>
      <w:r w:rsidRPr="00DA5EAA">
        <w:rPr>
          <w:rFonts w:cs="Calibri"/>
          <w:bCs/>
          <w:sz w:val="24"/>
          <w:szCs w:val="24"/>
        </w:rPr>
        <w:t>Midazolam-Droperidol, Droperidol, or Olanzapine for Acute Agitation: A Randomized Clinical Trial</w:t>
      </w:r>
      <w:r w:rsidRPr="00DA5EAA">
        <w:rPr>
          <w:rFonts w:cs="Calibri"/>
          <w:sz w:val="24"/>
          <w:szCs w:val="24"/>
        </w:rPr>
        <w:t>, Annals of Emergency Medicine</w:t>
      </w:r>
      <w:r w:rsidR="005976F5">
        <w:rPr>
          <w:rFonts w:cs="Calibri"/>
          <w:sz w:val="24"/>
          <w:szCs w:val="24"/>
        </w:rPr>
        <w:t>, March 2017Volume 69, Issue 3, Pages 318-326.e1</w:t>
      </w:r>
    </w:p>
    <w:p w:rsidR="00DA5EAA" w:rsidRPr="00DA5EAA" w:rsidRDefault="00AD1A9E" w:rsidP="00DA5EAA">
      <w:pPr>
        <w:numPr>
          <w:ilvl w:val="0"/>
          <w:numId w:val="4"/>
        </w:numPr>
        <w:shd w:val="clear" w:color="auto" w:fill="FFFFFF"/>
        <w:rPr>
          <w:rFonts w:cs="Calibri"/>
          <w:bCs/>
          <w:sz w:val="24"/>
          <w:szCs w:val="24"/>
        </w:rPr>
      </w:pPr>
      <w:hyperlink r:id="rId39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Leonie Calver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0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Vincent Drinkwater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1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Rahul Gupta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2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Colin B. Page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3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Geoffrey K. Isbister</w:t>
        </w:r>
      </w:hyperlink>
      <w:r w:rsidR="00DA5EAA" w:rsidRPr="00DA5EAA">
        <w:rPr>
          <w:rFonts w:cs="Calibri"/>
          <w:sz w:val="24"/>
          <w:szCs w:val="24"/>
        </w:rPr>
        <w:t>:</w:t>
      </w:r>
      <w:hyperlink r:id="rId44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Droperidol </w:t>
        </w:r>
        <w:r w:rsidR="00DA5EAA" w:rsidRPr="00DA5EAA">
          <w:rPr>
            <w:rStyle w:val="italic"/>
            <w:rFonts w:cs="Calibri"/>
            <w:sz w:val="24"/>
            <w:szCs w:val="24"/>
            <w:bdr w:val="none" w:sz="0" w:space="0" w:color="auto" w:frame="1"/>
          </w:rPr>
          <w:t>v</w:t>
        </w:r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  <w:bdr w:val="none" w:sz="0" w:space="0" w:color="auto" w:frame="1"/>
          </w:rPr>
          <w:t>. haloperidol for sedation of aggressive behaviour in acute mental health: Randomised controlled trial</w:t>
        </w:r>
      </w:hyperlink>
      <w:r w:rsidR="00DA5EAA" w:rsidRPr="00DA5EAA">
        <w:rPr>
          <w:rFonts w:cs="Calibri"/>
          <w:sz w:val="24"/>
          <w:szCs w:val="24"/>
        </w:rPr>
        <w:t>, BJPsych,Published online by Cambridge University Press: </w:t>
      </w:r>
      <w:r w:rsidR="00DA5EAA" w:rsidRPr="00DA5EAA">
        <w:rPr>
          <w:rStyle w:val="Date1"/>
          <w:rFonts w:cs="Calibri"/>
          <w:sz w:val="24"/>
          <w:szCs w:val="24"/>
          <w:bdr w:val="none" w:sz="0" w:space="0" w:color="auto" w:frame="1"/>
        </w:rPr>
        <w:t>02 January 2018</w:t>
      </w:r>
      <w:r w:rsidR="00DA5EAA" w:rsidRPr="00DA5EAA">
        <w:rPr>
          <w:rStyle w:val="pages"/>
          <w:rFonts w:cs="Calibri"/>
          <w:sz w:val="24"/>
          <w:szCs w:val="24"/>
          <w:bdr w:val="none" w:sz="0" w:space="0" w:color="auto" w:frame="1"/>
        </w:rPr>
        <w:t xml:space="preserve">, pp. 223-228.  </w:t>
      </w:r>
      <w:r w:rsidR="00DA5EAA" w:rsidRPr="00DA5EAA">
        <w:rPr>
          <w:rStyle w:val="id-label"/>
          <w:rFonts w:cs="Calibri"/>
          <w:sz w:val="24"/>
          <w:szCs w:val="24"/>
        </w:rPr>
        <w:t>DOI: </w:t>
      </w:r>
      <w:hyperlink r:id="rId45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10.1192/bjp.bp.114.150227</w:t>
        </w:r>
      </w:hyperlink>
    </w:p>
    <w:p w:rsidR="00DA5EAA" w:rsidRPr="00DA5EAA" w:rsidRDefault="00AD1A9E" w:rsidP="00DA5EAA">
      <w:pPr>
        <w:numPr>
          <w:ilvl w:val="0"/>
          <w:numId w:val="4"/>
        </w:numPr>
        <w:shd w:val="clear" w:color="auto" w:fill="FFFFFF"/>
        <w:spacing w:before="280" w:after="140"/>
        <w:rPr>
          <w:rFonts w:cs="Calibri"/>
          <w:sz w:val="24"/>
          <w:szCs w:val="24"/>
        </w:rPr>
      </w:pPr>
      <w:hyperlink r:id="rId46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Mehrdad Esmailian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7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Omid Ahmadi</w:t>
        </w:r>
      </w:hyperlink>
      <w:r w:rsidR="00DA5EAA" w:rsidRPr="00DA5EAA">
        <w:rPr>
          <w:rFonts w:cs="Calibri"/>
          <w:sz w:val="24"/>
          <w:szCs w:val="24"/>
        </w:rPr>
        <w:t>, </w:t>
      </w:r>
      <w:hyperlink r:id="rId48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Mehrsa Taheri</w:t>
        </w:r>
      </w:hyperlink>
      <w:r w:rsidR="00DA5EAA" w:rsidRPr="00DA5EAA">
        <w:rPr>
          <w:rFonts w:cs="Calibri"/>
          <w:sz w:val="24"/>
          <w:szCs w:val="24"/>
        </w:rPr>
        <w:t>, and </w:t>
      </w:r>
      <w:hyperlink r:id="rId49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Majid Zamani</w:t>
        </w:r>
      </w:hyperlink>
      <w:r w:rsidR="00DA5EAA" w:rsidRPr="00DA5EAA">
        <w:rPr>
          <w:rFonts w:cs="Calibri"/>
          <w:sz w:val="24"/>
          <w:szCs w:val="24"/>
        </w:rPr>
        <w:t xml:space="preserve">, Comparison of haloperidol and midazolam in restless management of patients referred to the Emergency Department: A double-blinded, randomized clinical trial, </w:t>
      </w:r>
      <w:r w:rsidR="00DA5EAA" w:rsidRPr="00DA5EAA">
        <w:rPr>
          <w:rStyle w:val="cit"/>
          <w:rFonts w:cs="Calibri"/>
          <w:sz w:val="24"/>
          <w:szCs w:val="24"/>
        </w:rPr>
        <w:t>J Res Med Sci. 2015 Sep; 20(9): 844–849.</w:t>
      </w:r>
      <w:r w:rsidR="00DA5EAA" w:rsidRPr="00DA5EAA">
        <w:rPr>
          <w:rFonts w:cs="Calibri"/>
          <w:sz w:val="24"/>
          <w:szCs w:val="24"/>
        </w:rPr>
        <w:t xml:space="preserve">, </w:t>
      </w:r>
      <w:r w:rsidR="00DA5EAA" w:rsidRPr="00DA5EAA">
        <w:rPr>
          <w:rStyle w:val="doi"/>
          <w:rFonts w:cs="Calibri"/>
          <w:sz w:val="24"/>
          <w:szCs w:val="24"/>
        </w:rPr>
        <w:t>doi: </w:t>
      </w:r>
      <w:hyperlink r:id="rId50" w:tgtFrame="_blank" w:history="1">
        <w:r w:rsidR="00DA5EAA" w:rsidRPr="00DA5EAA">
          <w:rPr>
            <w:rStyle w:val="Hyperlink"/>
            <w:rFonts w:cs="Calibri"/>
            <w:color w:val="auto"/>
            <w:sz w:val="24"/>
            <w:szCs w:val="24"/>
            <w:u w:val="none"/>
          </w:rPr>
          <w:t>10.4103/1735-1995.170598</w:t>
        </w:r>
      </w:hyperlink>
    </w:p>
    <w:p w:rsidR="00DA5EAA" w:rsidRPr="00687F50" w:rsidRDefault="00DA5EAA" w:rsidP="00DA5EAA">
      <w:pPr>
        <w:shd w:val="clear" w:color="auto" w:fill="FFFFFF"/>
        <w:ind w:left="720"/>
        <w:rPr>
          <w:rFonts w:cs="Calibri"/>
          <w:bCs/>
          <w:sz w:val="24"/>
          <w:szCs w:val="24"/>
        </w:rPr>
      </w:pPr>
    </w:p>
    <w:p w:rsidR="00DA5EAA" w:rsidRDefault="00DA5EAA" w:rsidP="00A617F2">
      <w:pPr>
        <w:rPr>
          <w:rFonts w:cstheme="minorHAnsi"/>
          <w:lang w:val="hr-HR"/>
        </w:rPr>
      </w:pPr>
    </w:p>
    <w:p w:rsidR="00DA5EAA" w:rsidRPr="00B96BF5" w:rsidRDefault="00DA5EAA" w:rsidP="00A617F2">
      <w:pPr>
        <w:rPr>
          <w:rFonts w:cstheme="minorHAnsi"/>
          <w:lang w:val="hr-HR"/>
        </w:rPr>
      </w:pPr>
    </w:p>
    <w:p w:rsidR="00A617F2" w:rsidRPr="00B96BF5" w:rsidRDefault="00A617F2" w:rsidP="00A617F2">
      <w:pPr>
        <w:rPr>
          <w:rFonts w:cstheme="minorHAnsi"/>
          <w:lang w:val="hr-HR"/>
        </w:rPr>
      </w:pPr>
    </w:p>
    <w:p w:rsidR="00A617F2" w:rsidRPr="00B96BF5" w:rsidRDefault="00A617F2" w:rsidP="00A617F2">
      <w:pPr>
        <w:rPr>
          <w:rFonts w:cstheme="minorHAnsi"/>
          <w:lang w:val="hr-HR"/>
        </w:rPr>
      </w:pPr>
    </w:p>
    <w:p w:rsidR="00C97D7F" w:rsidRPr="00B96BF5" w:rsidRDefault="00C97D7F">
      <w:pPr>
        <w:rPr>
          <w:rFonts w:cstheme="minorHAnsi"/>
          <w:lang w:val="hr-HR"/>
        </w:rPr>
      </w:pPr>
    </w:p>
    <w:sectPr w:rsidR="00C97D7F" w:rsidRPr="00B96BF5" w:rsidSect="00DA5EAA">
      <w:foot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9E" w:rsidRDefault="00AD1A9E" w:rsidP="008E7B20">
      <w:pPr>
        <w:spacing w:after="0" w:line="240" w:lineRule="auto"/>
      </w:pPr>
      <w:r>
        <w:separator/>
      </w:r>
    </w:p>
  </w:endnote>
  <w:endnote w:type="continuationSeparator" w:id="0">
    <w:p w:rsidR="00AD1A9E" w:rsidRDefault="00AD1A9E" w:rsidP="008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783"/>
      <w:docPartObj>
        <w:docPartGallery w:val="Page Numbers (Bottom of Page)"/>
        <w:docPartUnique/>
      </w:docPartObj>
    </w:sdtPr>
    <w:sdtEndPr/>
    <w:sdtContent>
      <w:p w:rsidR="00DA5EAA" w:rsidRDefault="0032674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2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EAA" w:rsidRDefault="00DA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9E" w:rsidRDefault="00AD1A9E" w:rsidP="008E7B20">
      <w:pPr>
        <w:spacing w:after="0" w:line="240" w:lineRule="auto"/>
      </w:pPr>
      <w:r>
        <w:separator/>
      </w:r>
    </w:p>
  </w:footnote>
  <w:footnote w:type="continuationSeparator" w:id="0">
    <w:p w:rsidR="00AD1A9E" w:rsidRDefault="00AD1A9E" w:rsidP="008E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CF2"/>
    <w:multiLevelType w:val="hybridMultilevel"/>
    <w:tmpl w:val="155E36EC"/>
    <w:lvl w:ilvl="0" w:tplc="C576BC0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E87"/>
    <w:multiLevelType w:val="hybridMultilevel"/>
    <w:tmpl w:val="66F2BCE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F86"/>
    <w:multiLevelType w:val="multilevel"/>
    <w:tmpl w:val="79E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A6290"/>
    <w:multiLevelType w:val="multilevel"/>
    <w:tmpl w:val="D42636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2"/>
    <w:rsid w:val="00077EBE"/>
    <w:rsid w:val="000E15E3"/>
    <w:rsid w:val="00101732"/>
    <w:rsid w:val="00133103"/>
    <w:rsid w:val="0029722D"/>
    <w:rsid w:val="00326749"/>
    <w:rsid w:val="004E1AA7"/>
    <w:rsid w:val="005828D7"/>
    <w:rsid w:val="005976F5"/>
    <w:rsid w:val="00715A8D"/>
    <w:rsid w:val="007A510F"/>
    <w:rsid w:val="008B3CF8"/>
    <w:rsid w:val="008E7B20"/>
    <w:rsid w:val="00962646"/>
    <w:rsid w:val="009B35D3"/>
    <w:rsid w:val="00A2136E"/>
    <w:rsid w:val="00A617F2"/>
    <w:rsid w:val="00AD1A9E"/>
    <w:rsid w:val="00B96BF5"/>
    <w:rsid w:val="00C307B0"/>
    <w:rsid w:val="00C52615"/>
    <w:rsid w:val="00C6269C"/>
    <w:rsid w:val="00C97D7F"/>
    <w:rsid w:val="00DA5EAA"/>
    <w:rsid w:val="00DD2BDE"/>
    <w:rsid w:val="00E35638"/>
    <w:rsid w:val="00F74915"/>
    <w:rsid w:val="00FE3C5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213B7-F1AD-44BA-BBBE-CDC71CE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7F"/>
  </w:style>
  <w:style w:type="paragraph" w:styleId="Heading1">
    <w:name w:val="heading 1"/>
    <w:basedOn w:val="Normal"/>
    <w:link w:val="Heading1Char"/>
    <w:uiPriority w:val="9"/>
    <w:qFormat/>
    <w:rsid w:val="00A61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7F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product-title">
    <w:name w:val="product-title"/>
    <w:basedOn w:val="Normal"/>
    <w:rsid w:val="00A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prod-title">
    <w:name w:val="prod-title"/>
    <w:basedOn w:val="DefaultParagraphFont"/>
    <w:rsid w:val="00A617F2"/>
  </w:style>
  <w:style w:type="character" w:customStyle="1" w:styleId="published-date">
    <w:name w:val="published-date"/>
    <w:basedOn w:val="DefaultParagraphFont"/>
    <w:rsid w:val="00A617F2"/>
  </w:style>
  <w:style w:type="character" w:customStyle="1" w:styleId="Heading3Char">
    <w:name w:val="Heading 3 Char"/>
    <w:basedOn w:val="DefaultParagraphFont"/>
    <w:link w:val="Heading3"/>
    <w:uiPriority w:val="9"/>
    <w:semiHidden/>
    <w:rsid w:val="00A6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617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17F2"/>
    <w:rPr>
      <w:i/>
      <w:iCs/>
    </w:rPr>
  </w:style>
  <w:style w:type="paragraph" w:styleId="NormalWeb">
    <w:name w:val="Normal (Web)"/>
    <w:basedOn w:val="Normal"/>
    <w:uiPriority w:val="99"/>
    <w:unhideWhenUsed/>
    <w:rsid w:val="00A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umbered-paragraph">
    <w:name w:val="numbered-paragraph"/>
    <w:basedOn w:val="Normal"/>
    <w:rsid w:val="00A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paragraph-number">
    <w:name w:val="paragraph-number"/>
    <w:basedOn w:val="DefaultParagraphFont"/>
    <w:rsid w:val="00A617F2"/>
  </w:style>
  <w:style w:type="character" w:styleId="Strong">
    <w:name w:val="Strong"/>
    <w:basedOn w:val="DefaultParagraphFont"/>
    <w:uiPriority w:val="22"/>
    <w:qFormat/>
    <w:rsid w:val="00A617F2"/>
    <w:rPr>
      <w:b/>
      <w:bCs/>
    </w:rPr>
  </w:style>
  <w:style w:type="table" w:styleId="TableGrid">
    <w:name w:val="Table Grid"/>
    <w:basedOn w:val="TableNormal"/>
    <w:uiPriority w:val="59"/>
    <w:rsid w:val="000E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B20"/>
  </w:style>
  <w:style w:type="paragraph" w:styleId="Footer">
    <w:name w:val="footer"/>
    <w:basedOn w:val="Normal"/>
    <w:link w:val="FooterChar"/>
    <w:uiPriority w:val="99"/>
    <w:unhideWhenUsed/>
    <w:rsid w:val="008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20"/>
  </w:style>
  <w:style w:type="character" w:customStyle="1" w:styleId="byline-reviewed-citations">
    <w:name w:val="byline-reviewed-citations"/>
    <w:basedOn w:val="DefaultParagraphFont"/>
    <w:rsid w:val="00DA5EAA"/>
  </w:style>
  <w:style w:type="character" w:customStyle="1" w:styleId="byline-source">
    <w:name w:val="byline-source"/>
    <w:basedOn w:val="DefaultParagraphFont"/>
    <w:rsid w:val="00DA5EAA"/>
  </w:style>
  <w:style w:type="character" w:customStyle="1" w:styleId="Emphasis1">
    <w:name w:val="Emphasis1"/>
    <w:basedOn w:val="DefaultParagraphFont"/>
    <w:rsid w:val="00DA5EAA"/>
  </w:style>
  <w:style w:type="character" w:customStyle="1" w:styleId="comma">
    <w:name w:val="comma"/>
    <w:basedOn w:val="DefaultParagraphFont"/>
    <w:rsid w:val="00DA5EAA"/>
  </w:style>
  <w:style w:type="character" w:customStyle="1" w:styleId="volume-issue-pages">
    <w:name w:val="volume-issue-pages"/>
    <w:basedOn w:val="DefaultParagraphFont"/>
    <w:rsid w:val="00DA5EAA"/>
  </w:style>
  <w:style w:type="character" w:customStyle="1" w:styleId="publication-date">
    <w:name w:val="publication-date"/>
    <w:basedOn w:val="DefaultParagraphFont"/>
    <w:rsid w:val="00DA5EAA"/>
  </w:style>
  <w:style w:type="character" w:customStyle="1" w:styleId="authors-list-item">
    <w:name w:val="authors-list-item"/>
    <w:basedOn w:val="DefaultParagraphFont"/>
    <w:rsid w:val="00DA5EAA"/>
  </w:style>
  <w:style w:type="character" w:customStyle="1" w:styleId="author-sup-separator">
    <w:name w:val="author-sup-separator"/>
    <w:basedOn w:val="DefaultParagraphFont"/>
    <w:rsid w:val="00DA5EAA"/>
  </w:style>
  <w:style w:type="character" w:customStyle="1" w:styleId="identifier">
    <w:name w:val="identifier"/>
    <w:basedOn w:val="DefaultParagraphFont"/>
    <w:rsid w:val="00DA5EAA"/>
  </w:style>
  <w:style w:type="character" w:customStyle="1" w:styleId="id-label">
    <w:name w:val="id-label"/>
    <w:basedOn w:val="DefaultParagraphFont"/>
    <w:rsid w:val="00DA5EAA"/>
  </w:style>
  <w:style w:type="character" w:customStyle="1" w:styleId="italic">
    <w:name w:val="italic"/>
    <w:basedOn w:val="DefaultParagraphFont"/>
    <w:rsid w:val="00DA5EAA"/>
  </w:style>
  <w:style w:type="character" w:customStyle="1" w:styleId="Date1">
    <w:name w:val="Date1"/>
    <w:basedOn w:val="DefaultParagraphFont"/>
    <w:rsid w:val="00DA5EAA"/>
  </w:style>
  <w:style w:type="character" w:customStyle="1" w:styleId="pages">
    <w:name w:val="pages"/>
    <w:basedOn w:val="DefaultParagraphFont"/>
    <w:rsid w:val="00DA5EAA"/>
  </w:style>
  <w:style w:type="character" w:customStyle="1" w:styleId="cit">
    <w:name w:val="cit"/>
    <w:basedOn w:val="DefaultParagraphFont"/>
    <w:rsid w:val="00DA5EAA"/>
  </w:style>
  <w:style w:type="character" w:customStyle="1" w:styleId="doi">
    <w:name w:val="doi"/>
    <w:basedOn w:val="DefaultParagraphFont"/>
    <w:rsid w:val="00DA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5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655">
          <w:marLeft w:val="0"/>
          <w:marRight w:val="0"/>
          <w:marTop w:val="301"/>
          <w:marBottom w:val="301"/>
          <w:divBdr>
            <w:top w:val="single" w:sz="4" w:space="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15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f.nice.org.uk/" TargetMode="External"/><Relationship Id="rId18" Type="http://schemas.openxmlformats.org/officeDocument/2006/relationships/hyperlink" Target="https://doi.org/10.1016/j.annemergmed.2017.05.005" TargetMode="External"/><Relationship Id="rId26" Type="http://schemas.openxmlformats.org/officeDocument/2006/relationships/hyperlink" Target="https://www.uptodate.com/home/editorial-policy" TargetMode="External"/><Relationship Id="rId39" Type="http://schemas.openxmlformats.org/officeDocument/2006/relationships/hyperlink" Target="https://www.cambridge.org/core/search?filters%5BauthorTerms%5D=Leonie%20Calver&amp;eventCode=SE-AU" TargetMode="External"/><Relationship Id="rId21" Type="http://schemas.openxmlformats.org/officeDocument/2006/relationships/hyperlink" Target="https://www.uptodate.com/contents/assessment-and-emergency-management-of-the-acutely-agitated-or-violent-adult/contributors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www.cambridge.org/core/search?filters%5BauthorTerms%5D=Colin%20B.%20Page&amp;eventCode=SE-AU" TargetMode="External"/><Relationship Id="rId47" Type="http://schemas.openxmlformats.org/officeDocument/2006/relationships/hyperlink" Target="https://www.ncbi.nlm.nih.gov/pubmed/?term=Ahmadi%20O%5BAuthor%5D&amp;cauthor=true&amp;cauthor_uid=26759570" TargetMode="External"/><Relationship Id="rId50" Type="http://schemas.openxmlformats.org/officeDocument/2006/relationships/hyperlink" Target="https://dx.doi.org/10.4103%2F1735-1995.170598" TargetMode="External"/><Relationship Id="rId7" Type="http://schemas.openxmlformats.org/officeDocument/2006/relationships/hyperlink" Target="https://www.medscape.com/viewarticle/925772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www.palliativedrugs.com/" TargetMode="External"/><Relationship Id="rId24" Type="http://schemas.openxmlformats.org/officeDocument/2006/relationships/hyperlink" Target="https://www.uptodate.com/contents/assessment-and-emergency-management-of-the-acutely-agitated-or-violent-adult/contributors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cambridge.org/core/search?filters%5BauthorTerms%5D=Vincent%20Drinkwater&amp;eventCode=SE-AU" TargetMode="External"/><Relationship Id="rId45" Type="http://schemas.openxmlformats.org/officeDocument/2006/relationships/hyperlink" Target="https://doi.org/10.1192/bjp.bp.114.150227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medicinescomplete.com/" TargetMode="External"/><Relationship Id="rId19" Type="http://schemas.openxmlformats.org/officeDocument/2006/relationships/hyperlink" Target="https://doi.org/10.1016/j.annemergmed.2018.04.027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www.cambridge.org/core/journals/the-british-journal-of-psychiatry/article/droperidol-v-haloperidol-for-sedation-of-aggressive-behaviour-in-acute-mental-health-randomised-controlled-trial/F3CDFB56ED38947818A817A70072B58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mc-uk.org/ethical-guidance/ethical-guidance-for-doctors/prescribing-and-managing-medicines-and-devices/prescribing-unlicensed-medicines" TargetMode="External"/><Relationship Id="rId14" Type="http://schemas.openxmlformats.org/officeDocument/2006/relationships/hyperlink" Target="https://www.gov.uk/government/organisations/medicines-and-healthcare-products-regulatory-agency" TargetMode="External"/><Relationship Id="rId22" Type="http://schemas.openxmlformats.org/officeDocument/2006/relationships/hyperlink" Target="https://www.uptodate.com/contents/assessment-and-emergency-management-of-the-acutely-agitated-or-violent-adult/contributors" TargetMode="External"/><Relationship Id="rId27" Type="http://schemas.openxmlformats.org/officeDocument/2006/relationships/hyperlink" Target="https://pubmed.ncbi.nlm.nih.gov/?term=Woods+SW&amp;cauthor_id=12823080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www.cambridge.org/core/search?filters%5BauthorTerms%5D=Geoffrey%20K.%20Isbister&amp;eventCode=SE-AU" TargetMode="External"/><Relationship Id="rId48" Type="http://schemas.openxmlformats.org/officeDocument/2006/relationships/hyperlink" Target="https://www.ncbi.nlm.nih.gov/pubmed/?term=Taheri%20M%5BAuthor%5D&amp;cauthor=true&amp;cauthor_uid=26759570" TargetMode="External"/><Relationship Id="rId8" Type="http://schemas.openxmlformats.org/officeDocument/2006/relationships/hyperlink" Target="https://www.nice.org.uk/guidance/ng163/chapter/7-Managing-anxiety-delirium-and-agitation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gmc-uk.org/ethical-guidance/ethical-guidance-for-doctors/prescribing-and-managing-medicines-and-devices/prescribing-unlicensed-medicines" TargetMode="External"/><Relationship Id="rId17" Type="http://schemas.openxmlformats.org/officeDocument/2006/relationships/hyperlink" Target="https://www.annemergmed.com/issue/S0196-0644(17)X0013-9" TargetMode="External"/><Relationship Id="rId25" Type="http://schemas.openxmlformats.org/officeDocument/2006/relationships/hyperlink" Target="https://www.uptodate.com/contents/assessment-and-emergency-management-of-the-acutely-agitated-or-violent-adult/contributor-disclosure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www.ncbi.nlm.nih.gov/pubmed/?term=Esmailian%20M%5BAuthor%5D&amp;cauthor=true&amp;cauthor_uid=26759570" TargetMode="External"/><Relationship Id="rId20" Type="http://schemas.openxmlformats.org/officeDocument/2006/relationships/hyperlink" Target="https://www.jwatch.org/editors/AU721?editor=Daniel%2520J.%2520Pallin,%2520MD,%2520MPH" TargetMode="External"/><Relationship Id="rId41" Type="http://schemas.openxmlformats.org/officeDocument/2006/relationships/hyperlink" Target="https://www.cambridge.org/core/search?filters%5BauthorTerms%5D=Rahul%20Gupta&amp;eventCode=SE-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uptodate.com/contents/assessment-and-emergency-management-of-the-acutely-agitated-or-violent-adult/contributors" TargetMode="External"/><Relationship Id="rId28" Type="http://schemas.openxmlformats.org/officeDocument/2006/relationships/hyperlink" Target="https://doi.org/10.4088/jcp.v64n0607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ncbi.nlm.nih.gov/pubmed/?term=Zamani%20M%5BAuthor%5D&amp;cauthor=true&amp;cauthor_uid=26759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11497</Characters>
  <Application>Microsoft Office Word</Application>
  <DocSecurity>0</DocSecurity>
  <Lines>182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mevludinhasanovic@outlook.com</cp:lastModifiedBy>
  <cp:revision>2</cp:revision>
  <dcterms:created xsi:type="dcterms:W3CDTF">2020-05-03T17:59:00Z</dcterms:created>
  <dcterms:modified xsi:type="dcterms:W3CDTF">2020-05-03T17:59:00Z</dcterms:modified>
</cp:coreProperties>
</file>